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490DC">
      <w:pPr>
        <w:spacing w:line="560" w:lineRule="exact"/>
        <w:jc w:val="center"/>
        <w:rPr>
          <w:rFonts w:ascii="黑体" w:eastAsia="黑体"/>
          <w:sz w:val="44"/>
          <w:szCs w:val="44"/>
          <w:highlight w:val="none"/>
        </w:rPr>
      </w:pPr>
      <w:r>
        <w:rPr>
          <w:rFonts w:hint="eastAsia" w:ascii="黑体" w:eastAsia="黑体"/>
          <w:sz w:val="44"/>
          <w:szCs w:val="44"/>
          <w:highlight w:val="none"/>
        </w:rPr>
        <w:t>项目比选文件</w:t>
      </w:r>
    </w:p>
    <w:p w14:paraId="34BBB4B3">
      <w:pPr>
        <w:spacing w:line="560" w:lineRule="exact"/>
        <w:jc w:val="center"/>
        <w:rPr>
          <w:rFonts w:ascii="黑体" w:eastAsia="黑体"/>
          <w:sz w:val="44"/>
          <w:szCs w:val="44"/>
          <w:highlight w:val="none"/>
        </w:rPr>
      </w:pPr>
    </w:p>
    <w:p w14:paraId="1FC81CAF">
      <w:pPr>
        <w:jc w:val="center"/>
        <w:rPr>
          <w:rFonts w:ascii="黑体" w:eastAsia="黑体"/>
          <w:sz w:val="36"/>
          <w:szCs w:val="36"/>
          <w:highlight w:val="none"/>
        </w:rPr>
      </w:pPr>
      <w:r>
        <w:rPr>
          <w:rFonts w:hint="eastAsia" w:ascii="黑体" w:eastAsia="黑体"/>
          <w:sz w:val="36"/>
          <w:szCs w:val="36"/>
          <w:highlight w:val="none"/>
        </w:rPr>
        <w:t>目  录</w:t>
      </w:r>
    </w:p>
    <w:p w14:paraId="588C3142">
      <w:pPr>
        <w:rPr>
          <w:rFonts w:ascii="仿宋_GB2312" w:eastAsia="仿宋_GB2312"/>
          <w:sz w:val="32"/>
          <w:szCs w:val="32"/>
          <w:highlight w:val="none"/>
        </w:rPr>
      </w:pPr>
      <w:r>
        <w:rPr>
          <w:rFonts w:hint="eastAsia" w:ascii="仿宋_GB2312" w:eastAsia="仿宋_GB2312"/>
          <w:sz w:val="32"/>
          <w:szCs w:val="32"/>
          <w:highlight w:val="none"/>
        </w:rPr>
        <w:t>第一章：比选邀请</w:t>
      </w:r>
    </w:p>
    <w:p w14:paraId="529A524A">
      <w:pPr>
        <w:rPr>
          <w:rFonts w:ascii="仿宋_GB2312" w:eastAsia="仿宋_GB2312"/>
          <w:sz w:val="32"/>
          <w:szCs w:val="32"/>
          <w:highlight w:val="none"/>
        </w:rPr>
      </w:pPr>
      <w:r>
        <w:rPr>
          <w:rFonts w:hint="eastAsia" w:ascii="仿宋_GB2312" w:eastAsia="仿宋_GB2312"/>
          <w:sz w:val="32"/>
          <w:szCs w:val="32"/>
          <w:highlight w:val="none"/>
        </w:rPr>
        <w:t>第二章：比选项目要求</w:t>
      </w:r>
    </w:p>
    <w:p w14:paraId="69306737">
      <w:pPr>
        <w:rPr>
          <w:rFonts w:ascii="仿宋_GB2312" w:eastAsia="仿宋_GB2312"/>
          <w:sz w:val="32"/>
          <w:szCs w:val="32"/>
          <w:highlight w:val="none"/>
        </w:rPr>
      </w:pPr>
      <w:r>
        <w:rPr>
          <w:rFonts w:hint="eastAsia" w:ascii="仿宋_GB2312" w:eastAsia="仿宋_GB2312"/>
          <w:sz w:val="32"/>
          <w:szCs w:val="32"/>
          <w:highlight w:val="none"/>
        </w:rPr>
        <w:t xml:space="preserve">        第一部分   项目说明</w:t>
      </w:r>
    </w:p>
    <w:p w14:paraId="57CABB42">
      <w:pPr>
        <w:rPr>
          <w:rFonts w:ascii="仿宋_GB2312" w:eastAsia="仿宋_GB2312"/>
          <w:sz w:val="32"/>
          <w:szCs w:val="32"/>
          <w:highlight w:val="none"/>
        </w:rPr>
      </w:pPr>
      <w:r>
        <w:rPr>
          <w:rFonts w:hint="eastAsia" w:ascii="仿宋_GB2312" w:eastAsia="仿宋_GB2312"/>
          <w:sz w:val="32"/>
          <w:szCs w:val="32"/>
          <w:highlight w:val="none"/>
        </w:rPr>
        <w:t xml:space="preserve">        第二部分   比选内容及要求</w:t>
      </w:r>
    </w:p>
    <w:p w14:paraId="7BB5B57D">
      <w:pPr>
        <w:ind w:firstLine="1280" w:firstLineChars="400"/>
        <w:rPr>
          <w:rFonts w:ascii="仿宋_GB2312" w:eastAsia="仿宋_GB2312"/>
          <w:sz w:val="32"/>
          <w:szCs w:val="32"/>
          <w:highlight w:val="none"/>
        </w:rPr>
      </w:pPr>
      <w:r>
        <w:rPr>
          <w:rFonts w:hint="eastAsia" w:ascii="仿宋_GB2312" w:eastAsia="仿宋_GB2312"/>
          <w:sz w:val="32"/>
          <w:szCs w:val="32"/>
          <w:highlight w:val="none"/>
        </w:rPr>
        <w:t>第三部分   比选评分说明</w:t>
      </w:r>
    </w:p>
    <w:p w14:paraId="3798B9D8">
      <w:pPr>
        <w:ind w:firstLine="1280" w:firstLineChars="400"/>
        <w:rPr>
          <w:rFonts w:ascii="仿宋_GB2312" w:eastAsia="仿宋_GB2312"/>
          <w:sz w:val="32"/>
          <w:szCs w:val="32"/>
          <w:highlight w:val="none"/>
        </w:rPr>
      </w:pPr>
      <w:r>
        <w:rPr>
          <w:rFonts w:hint="eastAsia" w:ascii="仿宋_GB2312" w:eastAsia="仿宋_GB2312"/>
          <w:sz w:val="32"/>
          <w:szCs w:val="32"/>
          <w:highlight w:val="none"/>
        </w:rPr>
        <w:t>第四部分   比选文件的构成及递交</w:t>
      </w:r>
    </w:p>
    <w:p w14:paraId="20808587">
      <w:pPr>
        <w:rPr>
          <w:rFonts w:ascii="仿宋_GB2312" w:eastAsia="仿宋_GB2312"/>
          <w:sz w:val="32"/>
          <w:szCs w:val="32"/>
          <w:highlight w:val="none"/>
        </w:rPr>
      </w:pPr>
      <w:r>
        <w:rPr>
          <w:rFonts w:hint="eastAsia" w:ascii="仿宋_GB2312" w:eastAsia="仿宋_GB2312"/>
          <w:sz w:val="32"/>
          <w:szCs w:val="32"/>
          <w:highlight w:val="none"/>
        </w:rPr>
        <w:t>第三章：附件</w:t>
      </w:r>
    </w:p>
    <w:p w14:paraId="4CD859D4">
      <w:pPr>
        <w:rPr>
          <w:rFonts w:ascii="仿宋_GB2312" w:eastAsia="仿宋_GB2312"/>
          <w:sz w:val="32"/>
          <w:szCs w:val="32"/>
          <w:highlight w:val="none"/>
        </w:rPr>
      </w:pPr>
      <w:r>
        <w:rPr>
          <w:rFonts w:hint="eastAsia" w:ascii="仿宋_GB2312" w:eastAsia="仿宋_GB2312"/>
          <w:sz w:val="32"/>
          <w:szCs w:val="32"/>
          <w:highlight w:val="none"/>
        </w:rPr>
        <w:t xml:space="preserve">        比选一览表</w:t>
      </w:r>
    </w:p>
    <w:p w14:paraId="562CD4EA">
      <w:pPr>
        <w:ind w:firstLine="2080" w:firstLineChars="650"/>
        <w:rPr>
          <w:rFonts w:ascii="仿宋_GB2312" w:eastAsia="仿宋_GB2312"/>
          <w:sz w:val="32"/>
          <w:szCs w:val="32"/>
          <w:highlight w:val="none"/>
        </w:rPr>
      </w:pPr>
    </w:p>
    <w:p w14:paraId="6C8D89D8">
      <w:pPr>
        <w:spacing w:line="560" w:lineRule="exact"/>
        <w:ind w:firstLine="2080" w:firstLineChars="650"/>
        <w:rPr>
          <w:rFonts w:ascii="仿宋_GB2312" w:eastAsia="仿宋_GB2312"/>
          <w:sz w:val="32"/>
          <w:szCs w:val="32"/>
          <w:highlight w:val="none"/>
        </w:rPr>
      </w:pPr>
    </w:p>
    <w:p w14:paraId="7482EC17">
      <w:pPr>
        <w:spacing w:line="560" w:lineRule="exact"/>
        <w:ind w:firstLine="2080" w:firstLineChars="650"/>
        <w:rPr>
          <w:rFonts w:ascii="仿宋_GB2312" w:eastAsia="仿宋_GB2312"/>
          <w:sz w:val="32"/>
          <w:szCs w:val="32"/>
          <w:highlight w:val="none"/>
        </w:rPr>
      </w:pPr>
    </w:p>
    <w:p w14:paraId="7A1B76A0">
      <w:pPr>
        <w:spacing w:line="560" w:lineRule="exact"/>
        <w:ind w:firstLine="2080" w:firstLineChars="650"/>
        <w:rPr>
          <w:rFonts w:ascii="仿宋_GB2312" w:eastAsia="仿宋_GB2312"/>
          <w:sz w:val="32"/>
          <w:szCs w:val="32"/>
          <w:highlight w:val="none"/>
        </w:rPr>
      </w:pPr>
    </w:p>
    <w:p w14:paraId="442476C3">
      <w:pPr>
        <w:spacing w:line="560" w:lineRule="exact"/>
        <w:ind w:firstLine="2080" w:firstLineChars="650"/>
        <w:rPr>
          <w:rFonts w:ascii="仿宋_GB2312" w:eastAsia="仿宋_GB2312"/>
          <w:sz w:val="32"/>
          <w:szCs w:val="32"/>
          <w:highlight w:val="none"/>
        </w:rPr>
      </w:pPr>
    </w:p>
    <w:p w14:paraId="053D2C9E">
      <w:pPr>
        <w:spacing w:line="560" w:lineRule="exact"/>
        <w:ind w:firstLine="2080" w:firstLineChars="650"/>
        <w:rPr>
          <w:rFonts w:ascii="仿宋_GB2312" w:eastAsia="仿宋_GB2312"/>
          <w:sz w:val="32"/>
          <w:szCs w:val="32"/>
          <w:highlight w:val="none"/>
        </w:rPr>
      </w:pPr>
    </w:p>
    <w:p w14:paraId="43E4961C">
      <w:pPr>
        <w:spacing w:line="560" w:lineRule="exact"/>
        <w:ind w:firstLine="2080" w:firstLineChars="650"/>
        <w:rPr>
          <w:rFonts w:ascii="仿宋_GB2312" w:eastAsia="仿宋_GB2312"/>
          <w:sz w:val="32"/>
          <w:szCs w:val="32"/>
          <w:highlight w:val="none"/>
        </w:rPr>
      </w:pPr>
    </w:p>
    <w:p w14:paraId="5FECACA5">
      <w:pPr>
        <w:spacing w:line="560" w:lineRule="exact"/>
        <w:ind w:firstLine="2080" w:firstLineChars="650"/>
        <w:rPr>
          <w:rFonts w:ascii="仿宋_GB2312" w:eastAsia="仿宋_GB2312"/>
          <w:sz w:val="32"/>
          <w:szCs w:val="32"/>
          <w:highlight w:val="none"/>
        </w:rPr>
      </w:pPr>
    </w:p>
    <w:p w14:paraId="6EA82FCE">
      <w:pPr>
        <w:spacing w:after="312" w:afterLines="100" w:line="560" w:lineRule="exact"/>
        <w:rPr>
          <w:rFonts w:ascii="黑体" w:eastAsia="黑体"/>
          <w:sz w:val="36"/>
          <w:szCs w:val="36"/>
          <w:highlight w:val="none"/>
        </w:rPr>
      </w:pPr>
    </w:p>
    <w:p w14:paraId="2FBCC6AF">
      <w:pPr>
        <w:spacing w:after="312" w:afterLines="100" w:line="560" w:lineRule="exact"/>
        <w:rPr>
          <w:rFonts w:ascii="黑体" w:eastAsia="黑体"/>
          <w:sz w:val="36"/>
          <w:szCs w:val="36"/>
          <w:highlight w:val="none"/>
        </w:rPr>
      </w:pPr>
    </w:p>
    <w:p w14:paraId="6C94B971">
      <w:pPr>
        <w:spacing w:after="312" w:afterLines="100" w:line="560" w:lineRule="exact"/>
        <w:jc w:val="center"/>
        <w:rPr>
          <w:rFonts w:ascii="黑体" w:eastAsia="黑体"/>
          <w:sz w:val="36"/>
          <w:szCs w:val="36"/>
          <w:highlight w:val="none"/>
        </w:rPr>
        <w:sectPr>
          <w:footerReference r:id="rId3" w:type="default"/>
          <w:pgSz w:w="11906" w:h="16838"/>
          <w:pgMar w:top="1440" w:right="1800" w:bottom="1440" w:left="1800" w:header="851" w:footer="992" w:gutter="0"/>
          <w:cols w:space="720" w:num="1"/>
          <w:titlePg/>
          <w:docGrid w:type="lines" w:linePitch="312" w:charSpace="0"/>
        </w:sectPr>
      </w:pPr>
    </w:p>
    <w:p w14:paraId="64ADC474">
      <w:pPr>
        <w:spacing w:after="312" w:afterLines="100" w:line="560" w:lineRule="exact"/>
        <w:jc w:val="center"/>
        <w:rPr>
          <w:rFonts w:ascii="黑体" w:eastAsia="黑体"/>
          <w:sz w:val="36"/>
          <w:szCs w:val="36"/>
          <w:highlight w:val="none"/>
        </w:rPr>
      </w:pPr>
      <w:r>
        <w:rPr>
          <w:rFonts w:hint="eastAsia" w:ascii="黑体" w:eastAsia="黑体"/>
          <w:sz w:val="36"/>
          <w:szCs w:val="36"/>
          <w:highlight w:val="none"/>
        </w:rPr>
        <w:t>第一章    比选邀请</w:t>
      </w:r>
    </w:p>
    <w:p w14:paraId="4B3D58A7">
      <w:pPr>
        <w:widowControl/>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广东省残疾人公益基金会，就十五运会和残特奥会公益捐赠仪式</w:t>
      </w:r>
      <w:r>
        <w:rPr>
          <w:rFonts w:hint="eastAsia" w:ascii="仿宋_GB2312" w:hAnsi="仿宋_GB2312" w:eastAsia="仿宋_GB2312" w:cs="仿宋_GB2312"/>
          <w:sz w:val="32"/>
          <w:szCs w:val="32"/>
          <w:highlight w:val="none"/>
        </w:rPr>
        <w:t>项目活动</w:t>
      </w:r>
      <w:r>
        <w:rPr>
          <w:rFonts w:hint="eastAsia" w:ascii="仿宋_GB2312" w:eastAsia="仿宋_GB2312"/>
          <w:sz w:val="32"/>
          <w:szCs w:val="32"/>
          <w:highlight w:val="none"/>
        </w:rPr>
        <w:t>进行采购比选，欢迎符合条件的单位参与比选。</w:t>
      </w:r>
    </w:p>
    <w:p w14:paraId="1642265E">
      <w:pPr>
        <w:numPr>
          <w:ilvl w:val="0"/>
          <w:numId w:val="1"/>
        </w:numPr>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项目名称：</w:t>
      </w:r>
      <w:r>
        <w:rPr>
          <w:rFonts w:hint="eastAsia" w:ascii="仿宋_GB2312" w:eastAsia="仿宋_GB2312"/>
          <w:sz w:val="32"/>
          <w:szCs w:val="32"/>
          <w:highlight w:val="none"/>
        </w:rPr>
        <w:t>十五运会和残特奥会公益捐赠仪式</w:t>
      </w:r>
    </w:p>
    <w:p w14:paraId="1B12BD00">
      <w:pPr>
        <w:numPr>
          <w:ilvl w:val="0"/>
          <w:numId w:val="1"/>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活动地点：广东省；</w:t>
      </w:r>
    </w:p>
    <w:p w14:paraId="7F884298">
      <w:pPr>
        <w:pStyle w:val="9"/>
        <w:shd w:val="clear" w:color="auto" w:fill="FFFFFF"/>
        <w:spacing w:before="0" w:beforeAutospacing="0" w:after="0" w:afterAutospacing="0" w:line="549" w:lineRule="atLeast"/>
        <w:ind w:firstLine="640" w:firstLineChars="200"/>
        <w:rPr>
          <w:rFonts w:hint="eastAsia" w:ascii="仿宋_GB2312" w:hAnsi="仿宋_GB2312" w:eastAsia="仿宋_GB2312" w:cs="仿宋_GB2312"/>
          <w:sz w:val="32"/>
          <w:szCs w:val="32"/>
          <w:highlight w:val="none"/>
        </w:rPr>
      </w:pPr>
      <w:r>
        <w:rPr>
          <w:rFonts w:hint="eastAsia" w:ascii="仿宋_GB2312" w:eastAsia="仿宋_GB2312"/>
          <w:color w:val="000000"/>
          <w:sz w:val="32"/>
          <w:szCs w:val="32"/>
          <w:highlight w:val="none"/>
        </w:rPr>
        <w:t>3、</w:t>
      </w:r>
      <w:r>
        <w:rPr>
          <w:rFonts w:hint="eastAsia" w:ascii="仿宋_GB2312" w:hAnsi="仿宋_GB2312" w:eastAsia="仿宋_GB2312" w:cs="仿宋_GB2312"/>
          <w:sz w:val="32"/>
          <w:szCs w:val="32"/>
          <w:highlight w:val="none"/>
        </w:rPr>
        <w:t>比选截止受理时间：所有比选文件应于2025年11月</w:t>
      </w:r>
      <w:r>
        <w:rPr>
          <w:rFonts w:hint="default"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t>日10:00(北京时间)之前递交;</w:t>
      </w:r>
    </w:p>
    <w:p w14:paraId="2E0ADCB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4、递交文件地点：</w:t>
      </w:r>
      <w:r>
        <w:rPr>
          <w:rFonts w:eastAsia="仿宋_GB2312"/>
          <w:sz w:val="32"/>
          <w:szCs w:val="32"/>
          <w:highlight w:val="none"/>
        </w:rPr>
        <w:t>广州市越秀区钱路头直街2号大院6楼</w:t>
      </w:r>
      <w:r>
        <w:rPr>
          <w:rFonts w:hint="eastAsia" w:ascii="仿宋_GB2312" w:eastAsia="仿宋_GB2312"/>
          <w:sz w:val="32"/>
          <w:szCs w:val="32"/>
          <w:highlight w:val="none"/>
        </w:rPr>
        <w:t>；</w:t>
      </w:r>
    </w:p>
    <w:p w14:paraId="01DE048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5、开标时间：</w:t>
      </w:r>
      <w:r>
        <w:rPr>
          <w:rFonts w:hint="eastAsia" w:ascii="仿宋_GB2312" w:hAnsi="仿宋_GB2312" w:eastAsia="仿宋_GB2312" w:cs="仿宋_GB2312"/>
          <w:sz w:val="32"/>
          <w:szCs w:val="32"/>
          <w:highlight w:val="none"/>
        </w:rPr>
        <w:t>2025年11月</w:t>
      </w:r>
      <w:r>
        <w:rPr>
          <w:rFonts w:hint="default"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t>日10:00(北京时间)</w:t>
      </w:r>
      <w:r>
        <w:rPr>
          <w:rFonts w:hint="eastAsia" w:ascii="仿宋_GB2312" w:eastAsia="仿宋_GB2312"/>
          <w:sz w:val="32"/>
          <w:szCs w:val="32"/>
          <w:highlight w:val="none"/>
        </w:rPr>
        <w:t>；</w:t>
      </w:r>
    </w:p>
    <w:p w14:paraId="61E2679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6、开标地点：</w:t>
      </w:r>
      <w:r>
        <w:rPr>
          <w:rFonts w:eastAsia="仿宋_GB2312"/>
          <w:sz w:val="32"/>
          <w:szCs w:val="32"/>
          <w:highlight w:val="none"/>
        </w:rPr>
        <w:t>广州市越秀区钱路头直街2号大院6楼</w:t>
      </w:r>
    </w:p>
    <w:p w14:paraId="19F53C32">
      <w:pPr>
        <w:spacing w:line="560" w:lineRule="exact"/>
        <w:rPr>
          <w:rFonts w:ascii="仿宋_GB2312" w:eastAsia="仿宋_GB2312"/>
          <w:sz w:val="32"/>
          <w:szCs w:val="32"/>
          <w:highlight w:val="none"/>
        </w:rPr>
      </w:pPr>
      <w:r>
        <w:rPr>
          <w:rFonts w:hint="eastAsia" w:ascii="仿宋_GB2312" w:eastAsia="仿宋_GB2312"/>
          <w:sz w:val="32"/>
          <w:szCs w:val="32"/>
          <w:highlight w:val="none"/>
        </w:rPr>
        <w:t>比选单位：广东省残疾人公益基金会</w:t>
      </w:r>
    </w:p>
    <w:p w14:paraId="7525B905">
      <w:pPr>
        <w:spacing w:line="560" w:lineRule="exact"/>
        <w:rPr>
          <w:rFonts w:eastAsia="仿宋_GB2312"/>
          <w:sz w:val="32"/>
          <w:szCs w:val="32"/>
          <w:highlight w:val="none"/>
        </w:rPr>
      </w:pPr>
      <w:r>
        <w:rPr>
          <w:rFonts w:hint="eastAsia" w:ascii="仿宋_GB2312" w:eastAsia="仿宋_GB2312"/>
          <w:sz w:val="32"/>
          <w:szCs w:val="32"/>
          <w:highlight w:val="none"/>
        </w:rPr>
        <w:t>详细地址：</w:t>
      </w:r>
      <w:r>
        <w:rPr>
          <w:rFonts w:eastAsia="仿宋_GB2312"/>
          <w:sz w:val="32"/>
          <w:szCs w:val="32"/>
          <w:highlight w:val="none"/>
        </w:rPr>
        <w:t>广州市越秀区钱路头直街2号大院6楼</w:t>
      </w:r>
    </w:p>
    <w:p w14:paraId="784DCADC">
      <w:pPr>
        <w:spacing w:line="560" w:lineRule="exact"/>
        <w:rPr>
          <w:rFonts w:ascii="仿宋_GB2312" w:eastAsia="仿宋_GB2312"/>
          <w:sz w:val="32"/>
          <w:szCs w:val="32"/>
          <w:highlight w:val="none"/>
        </w:rPr>
      </w:pPr>
      <w:r>
        <w:rPr>
          <w:rFonts w:hint="eastAsia" w:ascii="仿宋_GB2312" w:eastAsia="仿宋_GB2312"/>
          <w:sz w:val="32"/>
          <w:szCs w:val="32"/>
          <w:highlight w:val="none"/>
        </w:rPr>
        <w:t>邮编：510000</w:t>
      </w:r>
    </w:p>
    <w:p w14:paraId="3F0D02BA">
      <w:pPr>
        <w:spacing w:line="560" w:lineRule="exact"/>
        <w:rPr>
          <w:rFonts w:ascii="仿宋_GB2312" w:eastAsia="仿宋_GB2312"/>
          <w:sz w:val="32"/>
          <w:szCs w:val="32"/>
          <w:highlight w:val="none"/>
        </w:rPr>
      </w:pPr>
      <w:r>
        <w:rPr>
          <w:rFonts w:hint="eastAsia" w:ascii="仿宋_GB2312" w:eastAsia="仿宋_GB2312"/>
          <w:sz w:val="32"/>
          <w:szCs w:val="32"/>
          <w:highlight w:val="none"/>
        </w:rPr>
        <w:t>联系人：项目部 蔡老师</w:t>
      </w:r>
    </w:p>
    <w:p w14:paraId="5319A128">
      <w:pPr>
        <w:spacing w:line="560" w:lineRule="exact"/>
        <w:rPr>
          <w:rFonts w:ascii="仿宋_GB2312" w:eastAsia="仿宋_GB2312"/>
          <w:sz w:val="32"/>
          <w:szCs w:val="32"/>
          <w:highlight w:val="none"/>
        </w:rPr>
      </w:pPr>
      <w:r>
        <w:rPr>
          <w:rFonts w:hint="eastAsia" w:ascii="仿宋_GB2312" w:eastAsia="仿宋_GB2312"/>
          <w:sz w:val="32"/>
          <w:szCs w:val="32"/>
          <w:highlight w:val="none"/>
        </w:rPr>
        <w:t>电话：</w:t>
      </w:r>
      <w:r>
        <w:rPr>
          <w:rFonts w:eastAsia="仿宋_GB2312"/>
          <w:sz w:val="32"/>
          <w:szCs w:val="32"/>
          <w:highlight w:val="none"/>
        </w:rPr>
        <w:t>020-83372180</w:t>
      </w:r>
    </w:p>
    <w:p w14:paraId="48C188EC">
      <w:pPr>
        <w:spacing w:line="560" w:lineRule="exact"/>
        <w:rPr>
          <w:rFonts w:eastAsia="仿宋_GB2312"/>
          <w:sz w:val="32"/>
          <w:szCs w:val="32"/>
          <w:highlight w:val="none"/>
        </w:rPr>
      </w:pPr>
      <w:r>
        <w:rPr>
          <w:rFonts w:hint="eastAsia" w:ascii="仿宋_GB2312" w:eastAsia="仿宋_GB2312"/>
          <w:sz w:val="32"/>
          <w:szCs w:val="32"/>
          <w:highlight w:val="none"/>
        </w:rPr>
        <w:t>电子信箱：</w:t>
      </w:r>
      <w:r>
        <w:rPr>
          <w:highlight w:val="none"/>
        </w:rPr>
        <w:fldChar w:fldCharType="begin"/>
      </w:r>
      <w:r>
        <w:rPr>
          <w:highlight w:val="none"/>
        </w:rPr>
        <w:instrText xml:space="preserve"> HYPERLINK "mailto:gdfdp@gdfdp.org.cn" </w:instrText>
      </w:r>
      <w:r>
        <w:rPr>
          <w:highlight w:val="none"/>
        </w:rPr>
        <w:fldChar w:fldCharType="separate"/>
      </w:r>
      <w:r>
        <w:rPr>
          <w:rStyle w:val="13"/>
          <w:rFonts w:hint="eastAsia" w:eastAsia="仿宋_GB2312"/>
          <w:sz w:val="32"/>
          <w:szCs w:val="32"/>
          <w:highlight w:val="none"/>
        </w:rPr>
        <w:t>gdfdp@gdfdp.org.cn</w:t>
      </w:r>
      <w:r>
        <w:rPr>
          <w:rStyle w:val="13"/>
          <w:rFonts w:hint="eastAsia" w:eastAsia="仿宋_GB2312"/>
          <w:sz w:val="32"/>
          <w:szCs w:val="32"/>
          <w:highlight w:val="none"/>
        </w:rPr>
        <w:fldChar w:fldCharType="end"/>
      </w:r>
    </w:p>
    <w:p w14:paraId="1D85155E">
      <w:pPr>
        <w:wordWrap w:val="0"/>
        <w:spacing w:line="560" w:lineRule="exact"/>
        <w:jc w:val="right"/>
        <w:rPr>
          <w:rFonts w:ascii="仿宋_GB2312" w:eastAsia="仿宋_GB2312"/>
          <w:sz w:val="32"/>
          <w:szCs w:val="32"/>
          <w:highlight w:val="none"/>
        </w:rPr>
      </w:pPr>
    </w:p>
    <w:p w14:paraId="5EBF2097">
      <w:pPr>
        <w:wordWrap w:val="0"/>
        <w:spacing w:line="560" w:lineRule="exact"/>
        <w:jc w:val="right"/>
        <w:rPr>
          <w:rFonts w:ascii="仿宋_GB2312" w:eastAsia="仿宋_GB2312"/>
          <w:sz w:val="32"/>
          <w:szCs w:val="32"/>
          <w:highlight w:val="none"/>
        </w:rPr>
      </w:pPr>
      <w:r>
        <w:rPr>
          <w:rFonts w:hint="eastAsia" w:ascii="仿宋_GB2312" w:eastAsia="仿宋_GB2312"/>
          <w:sz w:val="32"/>
          <w:szCs w:val="32"/>
          <w:highlight w:val="none"/>
        </w:rPr>
        <w:t>广东省残疾人公益基金会</w:t>
      </w:r>
    </w:p>
    <w:p w14:paraId="20772071">
      <w:pPr>
        <w:wordWrap w:val="0"/>
        <w:spacing w:line="560" w:lineRule="exact"/>
        <w:jc w:val="right"/>
        <w:rPr>
          <w:rFonts w:ascii="黑体" w:eastAsia="黑体"/>
          <w:sz w:val="36"/>
          <w:szCs w:val="36"/>
          <w:highlight w:val="none"/>
        </w:rPr>
      </w:pPr>
      <w:r>
        <w:rPr>
          <w:rFonts w:hint="eastAsia" w:ascii="仿宋_GB2312" w:eastAsia="仿宋_GB2312"/>
          <w:sz w:val="32"/>
          <w:szCs w:val="32"/>
          <w:highlight w:val="none"/>
        </w:rPr>
        <w:t>2025年11月1</w:t>
      </w:r>
      <w:r>
        <w:rPr>
          <w:rFonts w:hint="default" w:ascii="仿宋_GB2312" w:eastAsia="仿宋_GB2312"/>
          <w:sz w:val="32"/>
          <w:szCs w:val="32"/>
          <w:highlight w:val="none"/>
        </w:rPr>
        <w:t>7</w:t>
      </w:r>
      <w:r>
        <w:rPr>
          <w:rFonts w:hint="eastAsia" w:ascii="仿宋_GB2312" w:eastAsia="仿宋_GB2312"/>
          <w:sz w:val="32"/>
          <w:szCs w:val="32"/>
          <w:highlight w:val="none"/>
        </w:rPr>
        <w:t xml:space="preserve">日 </w:t>
      </w:r>
    </w:p>
    <w:p w14:paraId="56609207">
      <w:pPr>
        <w:rPr>
          <w:rFonts w:ascii="黑体" w:eastAsia="黑体"/>
          <w:sz w:val="36"/>
          <w:szCs w:val="36"/>
          <w:highlight w:val="none"/>
        </w:rPr>
      </w:pPr>
      <w:r>
        <w:rPr>
          <w:rFonts w:hint="eastAsia" w:ascii="黑体" w:eastAsia="黑体"/>
          <w:sz w:val="36"/>
          <w:szCs w:val="36"/>
          <w:highlight w:val="none"/>
        </w:rPr>
        <w:br w:type="page"/>
      </w:r>
    </w:p>
    <w:p w14:paraId="6FF85952">
      <w:pPr>
        <w:spacing w:line="560" w:lineRule="exact"/>
        <w:jc w:val="center"/>
        <w:rPr>
          <w:rFonts w:ascii="黑体" w:eastAsia="黑体"/>
          <w:sz w:val="36"/>
          <w:szCs w:val="36"/>
          <w:highlight w:val="none"/>
        </w:rPr>
      </w:pPr>
      <w:r>
        <w:rPr>
          <w:rFonts w:hint="eastAsia" w:ascii="黑体" w:eastAsia="黑体"/>
          <w:sz w:val="36"/>
          <w:szCs w:val="36"/>
          <w:highlight w:val="none"/>
        </w:rPr>
        <w:t>第二章    比选项目要求</w:t>
      </w:r>
    </w:p>
    <w:p w14:paraId="70DABBF6">
      <w:pPr>
        <w:spacing w:line="560" w:lineRule="exact"/>
        <w:jc w:val="center"/>
        <w:rPr>
          <w:rFonts w:ascii="黑体" w:eastAsia="黑体"/>
          <w:sz w:val="36"/>
          <w:szCs w:val="36"/>
          <w:highlight w:val="none"/>
        </w:rPr>
      </w:pPr>
    </w:p>
    <w:p w14:paraId="40E70002">
      <w:pPr>
        <w:spacing w:line="560" w:lineRule="exact"/>
        <w:rPr>
          <w:rFonts w:ascii="仿宋_GB2312" w:eastAsia="仿宋_GB2312"/>
          <w:sz w:val="32"/>
          <w:szCs w:val="32"/>
          <w:highlight w:val="none"/>
        </w:rPr>
      </w:pPr>
      <w:r>
        <w:rPr>
          <w:rFonts w:hint="eastAsia" w:ascii="黑体" w:hAnsi="黑体" w:eastAsia="黑体" w:cs="黑体"/>
          <w:sz w:val="32"/>
          <w:szCs w:val="32"/>
          <w:highlight w:val="none"/>
        </w:rPr>
        <w:t>第一部分  项目说明</w:t>
      </w:r>
    </w:p>
    <w:p w14:paraId="139CE0F9">
      <w:pPr>
        <w:widowControl/>
        <w:spacing w:line="560" w:lineRule="exact"/>
        <w:outlineLvl w:val="0"/>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一、项目基本信息：</w:t>
      </w:r>
    </w:p>
    <w:tbl>
      <w:tblPr>
        <w:tblStyle w:val="10"/>
        <w:tblW w:w="9039" w:type="dxa"/>
        <w:tblInd w:w="0" w:type="dxa"/>
        <w:tblLayout w:type="fixed"/>
        <w:tblCellMar>
          <w:top w:w="0" w:type="dxa"/>
          <w:left w:w="108" w:type="dxa"/>
          <w:bottom w:w="0" w:type="dxa"/>
          <w:right w:w="108" w:type="dxa"/>
        </w:tblCellMar>
      </w:tblPr>
      <w:tblGrid>
        <w:gridCol w:w="1513"/>
        <w:gridCol w:w="7526"/>
      </w:tblGrid>
      <w:tr w14:paraId="3BD0F373">
        <w:tc>
          <w:tcPr>
            <w:tcW w:w="1513" w:type="dxa"/>
            <w:tcBorders>
              <w:top w:val="single" w:color="000000" w:sz="4" w:space="0"/>
              <w:left w:val="single" w:color="000000" w:sz="4" w:space="0"/>
              <w:bottom w:val="single" w:color="000000" w:sz="4" w:space="0"/>
              <w:right w:val="single" w:color="000000" w:sz="4" w:space="0"/>
            </w:tcBorders>
            <w:vAlign w:val="center"/>
          </w:tcPr>
          <w:p w14:paraId="56CBBA5F">
            <w:pPr>
              <w:widowControl/>
              <w:spacing w:line="560" w:lineRule="exact"/>
              <w:jc w:val="center"/>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项目名称</w:t>
            </w:r>
          </w:p>
        </w:tc>
        <w:tc>
          <w:tcPr>
            <w:tcW w:w="7526" w:type="dxa"/>
            <w:tcBorders>
              <w:top w:val="single" w:color="000000" w:sz="4" w:space="0"/>
              <w:left w:val="nil"/>
              <w:bottom w:val="single" w:color="000000" w:sz="4" w:space="0"/>
              <w:right w:val="single" w:color="000000" w:sz="4" w:space="0"/>
            </w:tcBorders>
          </w:tcPr>
          <w:p w14:paraId="084391A3">
            <w:pPr>
              <w:widowControl/>
              <w:spacing w:line="560" w:lineRule="exact"/>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十五运会和残特奥会公益捐赠仪式</w:t>
            </w:r>
          </w:p>
        </w:tc>
      </w:tr>
      <w:tr w14:paraId="1DE424C5">
        <w:tblPrEx>
          <w:tblCellMar>
            <w:top w:w="0" w:type="dxa"/>
            <w:left w:w="108" w:type="dxa"/>
            <w:bottom w:w="0" w:type="dxa"/>
            <w:right w:w="108" w:type="dxa"/>
          </w:tblCellMar>
        </w:tblPrEx>
        <w:trPr>
          <w:trHeight w:val="814" w:hRule="atLeast"/>
        </w:trPr>
        <w:tc>
          <w:tcPr>
            <w:tcW w:w="1513" w:type="dxa"/>
            <w:tcBorders>
              <w:top w:val="single" w:color="000000" w:sz="4" w:space="0"/>
              <w:left w:val="single" w:color="000000" w:sz="4" w:space="0"/>
              <w:right w:val="single" w:color="000000" w:sz="4" w:space="0"/>
            </w:tcBorders>
            <w:vAlign w:val="center"/>
          </w:tcPr>
          <w:p w14:paraId="0D58B188">
            <w:pPr>
              <w:widowControl/>
              <w:spacing w:line="560" w:lineRule="exact"/>
              <w:jc w:val="center"/>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项目编号</w:t>
            </w:r>
          </w:p>
        </w:tc>
        <w:tc>
          <w:tcPr>
            <w:tcW w:w="7526" w:type="dxa"/>
            <w:tcBorders>
              <w:top w:val="single" w:color="000000" w:sz="4" w:space="0"/>
              <w:left w:val="nil"/>
              <w:bottom w:val="single" w:color="000000" w:sz="4" w:space="0"/>
              <w:right w:val="single" w:color="000000" w:sz="4" w:space="0"/>
            </w:tcBorders>
            <w:vAlign w:val="center"/>
          </w:tcPr>
          <w:p w14:paraId="17F02914">
            <w:pPr>
              <w:widowControl/>
              <w:spacing w:line="560" w:lineRule="exact"/>
              <w:rPr>
                <w:rFonts w:hint="eastAsia" w:ascii="仿宋_GB2312" w:hAnsi="仿宋_GB2312" w:eastAsia="仿宋_GB2312" w:cs="仿宋_GB2312"/>
                <w:sz w:val="32"/>
                <w:szCs w:val="32"/>
                <w:highlight w:val="none"/>
              </w:rPr>
            </w:pPr>
          </w:p>
        </w:tc>
      </w:tr>
      <w:tr w14:paraId="3A7FE818">
        <w:tblPrEx>
          <w:tblCellMar>
            <w:top w:w="0" w:type="dxa"/>
            <w:left w:w="108" w:type="dxa"/>
            <w:bottom w:w="0" w:type="dxa"/>
            <w:right w:w="108" w:type="dxa"/>
          </w:tblCellMar>
        </w:tblPrEx>
        <w:tc>
          <w:tcPr>
            <w:tcW w:w="1513" w:type="dxa"/>
            <w:tcBorders>
              <w:top w:val="single" w:color="000000" w:sz="4" w:space="0"/>
              <w:left w:val="single" w:color="000000" w:sz="4" w:space="0"/>
              <w:bottom w:val="single" w:color="000000" w:sz="4" w:space="0"/>
              <w:right w:val="single" w:color="000000" w:sz="4" w:space="0"/>
            </w:tcBorders>
            <w:vAlign w:val="center"/>
          </w:tcPr>
          <w:p w14:paraId="754F0602">
            <w:pPr>
              <w:widowControl/>
              <w:spacing w:line="560" w:lineRule="exact"/>
              <w:jc w:val="center"/>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备注：</w:t>
            </w:r>
          </w:p>
        </w:tc>
        <w:tc>
          <w:tcPr>
            <w:tcW w:w="7526" w:type="dxa"/>
            <w:tcBorders>
              <w:top w:val="single" w:color="000000" w:sz="4" w:space="0"/>
              <w:left w:val="nil"/>
              <w:bottom w:val="single" w:color="000000" w:sz="4" w:space="0"/>
              <w:right w:val="single" w:color="000000" w:sz="4" w:space="0"/>
            </w:tcBorders>
          </w:tcPr>
          <w:p w14:paraId="737E1FDB">
            <w:pPr>
              <w:widowControl/>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1.中标人数1家；</w:t>
            </w:r>
          </w:p>
          <w:p w14:paraId="4AEB5AD9">
            <w:pPr>
              <w:widowControl/>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2.最高限价：</w:t>
            </w:r>
            <w:r>
              <w:rPr>
                <w:rFonts w:hint="eastAsia" w:ascii="仿宋_GB2312" w:hAnsi="仿宋_GB2312" w:eastAsia="仿宋_GB2312" w:cs="仿宋_GB2312"/>
                <w:sz w:val="32"/>
                <w:szCs w:val="32"/>
                <w:highlight w:val="none"/>
                <w:lang w:val="en-US" w:eastAsia="zh-CN"/>
              </w:rPr>
              <w:t>30</w:t>
            </w:r>
            <w:r>
              <w:rPr>
                <w:rFonts w:hint="eastAsia" w:ascii="仿宋_GB2312" w:hAnsi="宋体" w:eastAsia="仿宋_GB2312"/>
                <w:kern w:val="0"/>
                <w:sz w:val="32"/>
                <w:szCs w:val="32"/>
                <w:highlight w:val="none"/>
              </w:rPr>
              <w:t>万元</w:t>
            </w:r>
          </w:p>
        </w:tc>
      </w:tr>
    </w:tbl>
    <w:p w14:paraId="20B4CC60">
      <w:pPr>
        <w:widowControl/>
        <w:snapToGrid w:val="0"/>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二、项目概况</w:t>
      </w:r>
    </w:p>
    <w:p w14:paraId="561B72EC">
      <w:pPr>
        <w:widowControl/>
        <w:spacing w:line="560" w:lineRule="exact"/>
        <w:ind w:firstLine="640" w:firstLineChars="2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为进一步展示第十五届全国运动会（以下简称“十五运会”）和全国第十二届残疾人运动会暨第九届特殊奥林匹克运动会（以下简称“残特奥会”）赛事保障衔接进展与社会动员成效，持续营造粤港澳三地携手同心、协同联动、全力以赴办好赛事的良好氛围，拟于11月</w:t>
      </w:r>
      <w:r>
        <w:rPr>
          <w:rFonts w:hint="eastAsia" w:ascii="仿宋_GB2312" w:hAnsi="宋体" w:eastAsia="仿宋_GB2312"/>
          <w:kern w:val="0"/>
          <w:sz w:val="32"/>
          <w:szCs w:val="32"/>
          <w:highlight w:val="none"/>
          <w:lang w:val="en-US" w:eastAsia="zh-CN"/>
        </w:rPr>
        <w:t>26</w:t>
      </w:r>
      <w:r>
        <w:rPr>
          <w:rFonts w:hint="eastAsia" w:ascii="仿宋_GB2312" w:hAnsi="宋体" w:eastAsia="仿宋_GB2312"/>
          <w:kern w:val="0"/>
          <w:sz w:val="32"/>
          <w:szCs w:val="32"/>
          <w:highlight w:val="none"/>
        </w:rPr>
        <w:t>日举行“大爱湾区·共创未来”十五运会和残特奥会公益捐赠仪式。</w:t>
      </w:r>
    </w:p>
    <w:p w14:paraId="22C26B43">
      <w:pPr>
        <w:widowControl/>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三、项目内容及节点活动（以项目最终约定时间及地点为准）</w:t>
      </w:r>
    </w:p>
    <w:p w14:paraId="5FAC5C5E">
      <w:pPr>
        <w:widowControl/>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（一）活动内容概况</w:t>
      </w:r>
    </w:p>
    <w:p w14:paraId="1CE121D9">
      <w:pPr>
        <w:widowControl/>
        <w:spacing w:after="156" w:afterLines="50" w:line="560" w:lineRule="exact"/>
        <w:ind w:firstLine="640" w:firstLineChars="200"/>
        <w:jc w:val="both"/>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通过捐赠仪式系统总结前期社会力量支持两大赛事举办成果，明确捐赠资源分配与使用方向，确保各类物资、资金精准落地，为赛事顺利举办提供坚实保障；依托“湾区携手·体育强省”公益行动倡议发布、粤港澳大湾区公益合伙人之家成立及“万企接力·公益助残”行动启动，引导社会各界进一步认识体育事业、公益事业在促进人的全面发展、推动经济社会进步等方面的重要意义，推动赛事期间助赛助残公益热度向赛后延伸，构建覆盖“赛前保障－赛中服务－赛后延续”的粤港澳大湾区助赛助残公益长效机制。通过系列举措，引导更多社会力量投身全民体育与助残公益事业，助力粤港澳大湾区全民体育事业与残疾人公益慈善事业协同发展。</w:t>
      </w:r>
    </w:p>
    <w:p w14:paraId="478B77C3">
      <w:pPr>
        <w:widowControl/>
        <w:spacing w:after="156" w:afterLines="50"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（二）活动主题</w:t>
      </w:r>
    </w:p>
    <w:p w14:paraId="2DDEC3DC">
      <w:pPr>
        <w:widowControl/>
        <w:spacing w:after="156" w:afterLines="50"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大爱湾区·共创未来</w:t>
      </w:r>
    </w:p>
    <w:p w14:paraId="71D51E94">
      <w:pPr>
        <w:widowControl/>
        <w:spacing w:after="156" w:afterLines="50" w:line="560" w:lineRule="exact"/>
        <w:ind w:firstLine="640" w:firstLineChars="200"/>
        <w:jc w:val="left"/>
        <w:rPr>
          <w:rFonts w:hint="eastAsia" w:ascii="仿宋_GB2312" w:hAnsi="宋体" w:eastAsia="仿宋_GB2312"/>
          <w:kern w:val="0"/>
          <w:sz w:val="32"/>
          <w:szCs w:val="32"/>
          <w:highlight w:val="none"/>
          <w:lang w:eastAsia="zh-CN"/>
        </w:rPr>
      </w:pPr>
      <w:r>
        <w:rPr>
          <w:rFonts w:hint="eastAsia" w:ascii="仿宋_GB2312" w:hAnsi="宋体" w:eastAsia="仿宋_GB2312"/>
          <w:kern w:val="0"/>
          <w:sz w:val="32"/>
          <w:szCs w:val="32"/>
          <w:highlight w:val="none"/>
        </w:rPr>
        <w:t>（三）活动时间和地点</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lang w:val="en-US" w:eastAsia="zh-CN"/>
        </w:rPr>
        <w:t>拟</w:t>
      </w:r>
      <w:r>
        <w:rPr>
          <w:rFonts w:hint="eastAsia" w:ascii="仿宋_GB2312" w:hAnsi="宋体" w:eastAsia="仿宋_GB2312"/>
          <w:kern w:val="0"/>
          <w:sz w:val="32"/>
          <w:szCs w:val="32"/>
          <w:highlight w:val="none"/>
          <w:lang w:eastAsia="zh-CN"/>
        </w:rPr>
        <w:t>）</w:t>
      </w:r>
    </w:p>
    <w:p w14:paraId="05E17CEA">
      <w:pPr>
        <w:widowControl/>
        <w:spacing w:after="156" w:afterLines="50" w:line="560" w:lineRule="exact"/>
        <w:ind w:firstLine="640" w:firstLineChars="200"/>
        <w:jc w:val="left"/>
        <w:rPr>
          <w:rFonts w:hint="eastAsia" w:ascii="仿宋_GB2312" w:hAnsi="宋体" w:eastAsia="仿宋_GB2312"/>
          <w:kern w:val="0"/>
          <w:sz w:val="32"/>
          <w:szCs w:val="32"/>
          <w:highlight w:val="none"/>
          <w:lang w:eastAsia="zh-CN"/>
        </w:rPr>
      </w:pPr>
      <w:r>
        <w:rPr>
          <w:rFonts w:hint="eastAsia" w:ascii="仿宋_GB2312" w:hAnsi="宋体" w:eastAsia="仿宋_GB2312"/>
          <w:kern w:val="0"/>
          <w:sz w:val="32"/>
          <w:szCs w:val="32"/>
          <w:highlight w:val="none"/>
        </w:rPr>
        <w:t>时间：11月2</w:t>
      </w:r>
      <w:r>
        <w:rPr>
          <w:rFonts w:hint="eastAsia" w:ascii="仿宋_GB2312" w:hAnsi="宋体" w:eastAsia="仿宋_GB2312"/>
          <w:kern w:val="0"/>
          <w:sz w:val="32"/>
          <w:szCs w:val="32"/>
          <w:highlight w:val="none"/>
          <w:lang w:val="en-US" w:eastAsia="zh-CN"/>
        </w:rPr>
        <w:t>6</w:t>
      </w:r>
      <w:r>
        <w:rPr>
          <w:rFonts w:hint="eastAsia" w:ascii="仿宋_GB2312" w:hAnsi="宋体" w:eastAsia="仿宋_GB2312"/>
          <w:kern w:val="0"/>
          <w:sz w:val="32"/>
          <w:szCs w:val="32"/>
          <w:highlight w:val="none"/>
        </w:rPr>
        <w:t>日10:00-11:30</w:t>
      </w:r>
    </w:p>
    <w:p w14:paraId="7F20FFBE">
      <w:pPr>
        <w:widowControl/>
        <w:spacing w:after="156" w:afterLines="50"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地点：广州塔二层千人庆典大厅  </w:t>
      </w:r>
    </w:p>
    <w:p w14:paraId="33B50759">
      <w:pPr>
        <w:widowControl/>
        <w:spacing w:after="156" w:afterLines="50"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（广东省广州市海珠区阅江西路222号）</w:t>
      </w:r>
    </w:p>
    <w:p w14:paraId="3BDB597D">
      <w:pPr>
        <w:widowControl/>
        <w:spacing w:after="156" w:afterLines="50" w:line="560" w:lineRule="exact"/>
        <w:ind w:firstLine="640" w:firstLineChars="200"/>
        <w:jc w:val="lef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活动规模：约400人。</w:t>
      </w:r>
    </w:p>
    <w:p w14:paraId="720BB092">
      <w:pPr>
        <w:tabs>
          <w:tab w:val="left" w:pos="6090"/>
        </w:tabs>
        <w:spacing w:before="156" w:beforeLines="50" w:line="560" w:lineRule="exact"/>
        <w:rPr>
          <w:rFonts w:ascii="仿宋_GB2312" w:eastAsia="仿宋_GB2312"/>
          <w:sz w:val="32"/>
          <w:szCs w:val="32"/>
          <w:highlight w:val="none"/>
        </w:rPr>
      </w:pPr>
      <w:r>
        <w:rPr>
          <w:rFonts w:hint="eastAsia" w:ascii="黑体" w:hAnsi="黑体" w:eastAsia="黑体" w:cs="黑体"/>
          <w:sz w:val="32"/>
          <w:szCs w:val="32"/>
          <w:highlight w:val="none"/>
        </w:rPr>
        <w:t>第二部分  比选内容及要求</w:t>
      </w:r>
    </w:p>
    <w:p w14:paraId="7D33D66C">
      <w:pPr>
        <w:widowControl/>
        <w:spacing w:line="560" w:lineRule="exact"/>
        <w:jc w:val="lef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一、服务范围：</w:t>
      </w:r>
    </w:p>
    <w:p w14:paraId="5A7A0139">
      <w:pPr>
        <w:widowControl/>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ascii="仿宋_GB2312" w:hAnsi="宋体" w:eastAsia="仿宋_GB2312"/>
          <w:kern w:val="0"/>
          <w:sz w:val="32"/>
          <w:szCs w:val="32"/>
          <w:highlight w:val="none"/>
        </w:rPr>
        <w:t>（一）负责十五</w:t>
      </w:r>
      <w:r>
        <w:rPr>
          <w:rFonts w:hint="eastAsia" w:ascii="仿宋_GB2312" w:hAnsi="宋体" w:eastAsia="仿宋_GB2312"/>
          <w:kern w:val="0"/>
          <w:sz w:val="32"/>
          <w:szCs w:val="32"/>
          <w:highlight w:val="none"/>
        </w:rPr>
        <w:t>运</w:t>
      </w:r>
      <w:r>
        <w:rPr>
          <w:rFonts w:ascii="仿宋_GB2312" w:hAnsi="宋体" w:eastAsia="仿宋_GB2312"/>
          <w:kern w:val="0"/>
          <w:sz w:val="32"/>
          <w:szCs w:val="32"/>
          <w:highlight w:val="none"/>
        </w:rPr>
        <w:t>会及残特奥会公益捐赠仪式的全流程执行服务，</w:t>
      </w:r>
      <w:r>
        <w:rPr>
          <w:rFonts w:hint="eastAsia" w:ascii="仿宋_GB2312" w:hAnsi="宋体" w:eastAsia="仿宋_GB2312"/>
          <w:kern w:val="0"/>
          <w:sz w:val="32"/>
          <w:szCs w:val="32"/>
          <w:highlight w:val="none"/>
        </w:rPr>
        <w:t>配合活动</w:t>
      </w:r>
      <w:r>
        <w:rPr>
          <w:rFonts w:ascii="仿宋_GB2312" w:hAnsi="宋体" w:eastAsia="仿宋_GB2312"/>
          <w:kern w:val="0"/>
          <w:sz w:val="32"/>
          <w:szCs w:val="32"/>
          <w:highlight w:val="none"/>
        </w:rPr>
        <w:t>相关工作</w:t>
      </w:r>
      <w:r>
        <w:rPr>
          <w:rFonts w:hint="eastAsia" w:ascii="仿宋_GB2312" w:hAnsi="宋体" w:eastAsia="仿宋_GB2312"/>
          <w:kern w:val="0"/>
          <w:sz w:val="32"/>
          <w:szCs w:val="32"/>
          <w:highlight w:val="none"/>
        </w:rPr>
        <w:t>的执行和推进</w:t>
      </w:r>
      <w:r>
        <w:rPr>
          <w:rFonts w:ascii="仿宋_GB2312" w:hAnsi="宋体" w:eastAsia="仿宋_GB2312"/>
          <w:kern w:val="0"/>
          <w:sz w:val="32"/>
          <w:szCs w:val="32"/>
          <w:highlight w:val="none"/>
        </w:rPr>
        <w:t>，确保各环节紧密衔接、流程有序推进，无重大程序疏漏。</w:t>
      </w:r>
    </w:p>
    <w:p w14:paraId="32A82D9B">
      <w:pPr>
        <w:widowControl w:val="0"/>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ascii="仿宋_GB2312" w:hAnsi="宋体" w:eastAsia="仿宋_GB2312"/>
          <w:kern w:val="0"/>
          <w:sz w:val="32"/>
          <w:szCs w:val="32"/>
          <w:highlight w:val="none"/>
        </w:rPr>
        <w:t>（二）负责活动整体策划、前期筹备、视觉系统设计（含主KV、宣传物料、现场环境布置等）、活动素材拍摄录制及宣传推广等相关工作</w:t>
      </w:r>
      <w:r>
        <w:rPr>
          <w:rFonts w:hint="eastAsia" w:ascii="仿宋_GB2312" w:hAnsi="宋体" w:eastAsia="仿宋_GB2312"/>
          <w:kern w:val="0"/>
          <w:sz w:val="32"/>
          <w:szCs w:val="32"/>
          <w:highlight w:val="none"/>
        </w:rPr>
        <w:t>的实施。</w:t>
      </w:r>
    </w:p>
    <w:p w14:paraId="78D863E3">
      <w:pPr>
        <w:widowControl w:val="0"/>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ascii="仿宋_GB2312" w:hAnsi="宋体" w:eastAsia="仿宋_GB2312"/>
          <w:kern w:val="0"/>
          <w:sz w:val="32"/>
          <w:szCs w:val="32"/>
          <w:highlight w:val="none"/>
        </w:rPr>
        <w:t>（三）负责活动场地</w:t>
      </w:r>
      <w:r>
        <w:rPr>
          <w:rFonts w:hint="eastAsia" w:ascii="仿宋_GB2312" w:hAnsi="宋体" w:eastAsia="仿宋_GB2312"/>
          <w:kern w:val="0"/>
          <w:sz w:val="32"/>
          <w:szCs w:val="32"/>
          <w:highlight w:val="none"/>
        </w:rPr>
        <w:t>布置</w:t>
      </w:r>
      <w:r>
        <w:rPr>
          <w:rFonts w:ascii="仿宋_GB2312" w:hAnsi="宋体" w:eastAsia="仿宋_GB2312"/>
          <w:kern w:val="0"/>
          <w:sz w:val="32"/>
          <w:szCs w:val="32"/>
          <w:highlight w:val="none"/>
        </w:rPr>
        <w:t>——广州塔二楼千人庆典大厅的租赁、布置及搭建工作，包括但不限于</w:t>
      </w:r>
      <w:r>
        <w:rPr>
          <w:rFonts w:hint="eastAsia" w:ascii="仿宋_GB2312" w:hAnsi="宋体" w:eastAsia="仿宋_GB2312"/>
          <w:kern w:val="0"/>
          <w:sz w:val="32"/>
          <w:szCs w:val="32"/>
          <w:highlight w:val="none"/>
        </w:rPr>
        <w:t>活动场地内外场</w:t>
      </w:r>
      <w:r>
        <w:rPr>
          <w:rFonts w:ascii="仿宋_GB2312" w:hAnsi="宋体" w:eastAsia="仿宋_GB2312"/>
          <w:kern w:val="0"/>
          <w:sz w:val="32"/>
          <w:szCs w:val="32"/>
          <w:highlight w:val="none"/>
        </w:rPr>
        <w:t>搭建、灯光音响设备租赁与调试、座椅摆放、氛围营造等</w:t>
      </w:r>
      <w:r>
        <w:rPr>
          <w:rFonts w:hint="eastAsia" w:ascii="仿宋_GB2312" w:hAnsi="宋体" w:eastAsia="仿宋_GB2312"/>
          <w:kern w:val="0"/>
          <w:sz w:val="32"/>
          <w:szCs w:val="32"/>
          <w:highlight w:val="none"/>
        </w:rPr>
        <w:t>工作</w:t>
      </w:r>
      <w:r>
        <w:rPr>
          <w:rFonts w:ascii="仿宋_GB2312" w:hAnsi="宋体" w:eastAsia="仿宋_GB2312"/>
          <w:kern w:val="0"/>
          <w:sz w:val="32"/>
          <w:szCs w:val="32"/>
          <w:highlight w:val="none"/>
        </w:rPr>
        <w:t>。</w:t>
      </w:r>
    </w:p>
    <w:p w14:paraId="72670E0E">
      <w:pPr>
        <w:widowControl/>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ascii="仿宋_GB2312" w:hAnsi="宋体" w:eastAsia="仿宋_GB2312"/>
          <w:kern w:val="0"/>
          <w:sz w:val="32"/>
          <w:szCs w:val="32"/>
          <w:highlight w:val="none"/>
        </w:rPr>
        <w:t>（四）活动期间，需配合完成流程彩排、嘉宾接待、现场人员调度、活动</w:t>
      </w:r>
      <w:r>
        <w:rPr>
          <w:rFonts w:hint="eastAsia" w:ascii="仿宋_GB2312" w:hAnsi="宋体" w:eastAsia="仿宋_GB2312"/>
          <w:kern w:val="0"/>
          <w:sz w:val="32"/>
          <w:szCs w:val="32"/>
          <w:highlight w:val="none"/>
        </w:rPr>
        <w:t>有序</w:t>
      </w:r>
      <w:r>
        <w:rPr>
          <w:rFonts w:ascii="仿宋_GB2312" w:hAnsi="宋体" w:eastAsia="仿宋_GB2312"/>
          <w:kern w:val="0"/>
          <w:sz w:val="32"/>
          <w:szCs w:val="32"/>
          <w:highlight w:val="none"/>
        </w:rPr>
        <w:t>执行及会务后勤保障等工作</w:t>
      </w:r>
      <w:r>
        <w:rPr>
          <w:rFonts w:hint="eastAsia" w:ascii="仿宋_GB2312" w:hAnsi="宋体" w:eastAsia="仿宋_GB2312"/>
          <w:kern w:val="0"/>
          <w:sz w:val="32"/>
          <w:szCs w:val="32"/>
          <w:highlight w:val="none"/>
        </w:rPr>
        <w:t>。</w:t>
      </w:r>
    </w:p>
    <w:p w14:paraId="4199EF70">
      <w:pPr>
        <w:widowControl/>
        <w:spacing w:after="0" w:afterLines="-2147483648" w:line="560" w:lineRule="exact"/>
        <w:ind w:firstLine="640" w:firstLineChars="200"/>
        <w:jc w:val="left"/>
        <w:rPr>
          <w:rFonts w:hint="eastAsia" w:ascii="仿宋_GB2312" w:hAnsi="宋体" w:eastAsia="仿宋_GB2312"/>
          <w:kern w:val="0"/>
          <w:sz w:val="32"/>
          <w:szCs w:val="32"/>
          <w:highlight w:val="none"/>
        </w:rPr>
      </w:pPr>
      <w:r>
        <w:rPr>
          <w:rFonts w:ascii="仿宋_GB2312" w:hAnsi="宋体" w:eastAsia="仿宋_GB2312"/>
          <w:kern w:val="0"/>
          <w:sz w:val="32"/>
          <w:szCs w:val="32"/>
          <w:highlight w:val="none"/>
        </w:rPr>
        <w:t>（五）活动结束后，提交完整成果资料，包括但不限于：活动视频成片、现场照片集锦、宣传推广素材及活动总结报告等。</w:t>
      </w:r>
    </w:p>
    <w:p w14:paraId="621E7F60">
      <w:pPr>
        <w:widowControl/>
        <w:spacing w:line="560" w:lineRule="exact"/>
        <w:rPr>
          <w:highlight w:val="none"/>
        </w:rPr>
      </w:pPr>
      <w:r>
        <w:rPr>
          <w:rFonts w:hint="eastAsia" w:ascii="仿宋_GB2312" w:hAnsi="宋体" w:eastAsia="仿宋_GB2312"/>
          <w:b/>
          <w:bCs/>
          <w:kern w:val="0"/>
          <w:sz w:val="32"/>
          <w:szCs w:val="32"/>
          <w:highlight w:val="none"/>
        </w:rPr>
        <w:t>二、服务要求</w:t>
      </w:r>
    </w:p>
    <w:p w14:paraId="51996129">
      <w:pPr>
        <w:widowControl/>
        <w:numPr>
          <w:ilvl w:val="0"/>
          <w:numId w:val="2"/>
        </w:numPr>
        <w:adjustRightInd w:val="0"/>
        <w:snapToGrid w:val="0"/>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比选单位应按照方案中各活动内容、列明每一项开支的费用明细并做费用预算表；</w:t>
      </w:r>
    </w:p>
    <w:p w14:paraId="01BEF702">
      <w:pPr>
        <w:widowControl/>
        <w:numPr>
          <w:ilvl w:val="0"/>
          <w:numId w:val="2"/>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比选单位应具备活动策划与执行经验，能够有效协调各方资源，保障活动效果；</w:t>
      </w:r>
    </w:p>
    <w:p w14:paraId="508B1D49">
      <w:pPr>
        <w:widowControl/>
        <w:numPr>
          <w:ilvl w:val="0"/>
          <w:numId w:val="2"/>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中标单位应严格按照项目时间节点及内容要求完成各项活动组织与执行，确保活动安全、有序开展；</w:t>
      </w:r>
    </w:p>
    <w:p w14:paraId="5E7B659A">
      <w:pPr>
        <w:widowControl/>
        <w:numPr>
          <w:ilvl w:val="0"/>
          <w:numId w:val="2"/>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中标单位应提前筹备各项工作。</w:t>
      </w:r>
    </w:p>
    <w:p w14:paraId="3EF534B7">
      <w:pPr>
        <w:widowControl/>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三、付款方式</w:t>
      </w:r>
    </w:p>
    <w:p w14:paraId="65A5AD1F">
      <w:pPr>
        <w:widowControl/>
        <w:spacing w:line="560" w:lineRule="exact"/>
        <w:ind w:firstLine="640" w:firstLineChars="2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按本基金会财务制度规定进行支付。</w:t>
      </w:r>
    </w:p>
    <w:p w14:paraId="40112008">
      <w:pPr>
        <w:widowControl/>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四、报价要求</w:t>
      </w:r>
    </w:p>
    <w:p w14:paraId="665F7B14">
      <w:pPr>
        <w:widowControl/>
        <w:numPr>
          <w:ilvl w:val="0"/>
          <w:numId w:val="3"/>
        </w:numPr>
        <w:spacing w:before="78" w:after="78" w:line="560" w:lineRule="exact"/>
        <w:rPr>
          <w:rFonts w:hint="eastAsia" w:ascii="仿宋_GB2312" w:hAnsi="宋体" w:eastAsia="仿宋_GB2312"/>
          <w:kern w:val="0"/>
          <w:sz w:val="32"/>
          <w:szCs w:val="32"/>
          <w:highlight w:val="none"/>
        </w:rPr>
      </w:pPr>
      <w:bookmarkStart w:id="0" w:name="OLE_LINK3"/>
      <w:bookmarkEnd w:id="0"/>
      <w:bookmarkStart w:id="1" w:name="OLE_LINK4"/>
      <w:r>
        <w:rPr>
          <w:rFonts w:hint="eastAsia" w:ascii="仿宋_GB2312" w:hAnsi="宋体" w:eastAsia="仿宋_GB2312"/>
          <w:kern w:val="0"/>
          <w:sz w:val="32"/>
          <w:szCs w:val="32"/>
          <w:highlight w:val="none"/>
        </w:rPr>
        <w:t>本项目服务费采用包干制，应包括服务成本、法定税费和企业的利润。由企业根据比选文件所提供的资料自行测算比选报价；一经中标，比选报价总价作为中标单位与采购单位签订的合同金额，合同期限内不作调整；</w:t>
      </w:r>
      <w:bookmarkEnd w:id="1"/>
    </w:p>
    <w:p w14:paraId="2F538793">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比选人应根据本企业的成本自行决定报价，但不得以低于本企业成本的报价比选；</w:t>
      </w:r>
    </w:p>
    <w:p w14:paraId="7FC12DA2">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比选人的比选报价不得超过比选文件最高限价；</w:t>
      </w:r>
    </w:p>
    <w:p w14:paraId="668E93EC">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比选人的比选报价，应以本项目比选范围和比选文件上所列的各项内容中所述的一致，不得以任何理由予以重复，并以比选人提出的综合单价或总价为依据；</w:t>
      </w:r>
    </w:p>
    <w:p w14:paraId="3E3EA73E">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除非基金会通过修改比选文件予以更正，否则，比选人应按比选文件所提及内容进行分项报价和合价。比选人未填分项报价或合价的项目，在实施后，将不得以支付，并视作该项费用已包括在其它有价款的分项报价或合价内；</w:t>
      </w:r>
    </w:p>
    <w:p w14:paraId="61056D1F">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比选人应充分了解项目的时间、地点、活动需求情况、及其它足以影响比选报价的情况，任何因忽视或误解项目情况而导致的索赔或服务期限延长申请将不获批准；</w:t>
      </w:r>
    </w:p>
    <w:p w14:paraId="7A27C311">
      <w:pPr>
        <w:widowControl/>
        <w:numPr>
          <w:ilvl w:val="0"/>
          <w:numId w:val="3"/>
        </w:numPr>
        <w:spacing w:before="78" w:after="78"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各比选人在比选报价时，应充分考虑比选报价的风险。</w:t>
      </w:r>
    </w:p>
    <w:p w14:paraId="221CB900">
      <w:pPr>
        <w:widowControl/>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五、比选单位资格要求</w:t>
      </w:r>
    </w:p>
    <w:p w14:paraId="0AD9352D">
      <w:pPr>
        <w:numPr>
          <w:ilvl w:val="0"/>
          <w:numId w:val="4"/>
        </w:numPr>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比选单位必须具有独立法人资格并具有独立承担民事责任能力；</w:t>
      </w:r>
      <w:r>
        <w:rPr>
          <w:rFonts w:ascii="仿宋_GB2312" w:eastAsia="仿宋_GB2312"/>
          <w:color w:val="000000"/>
          <w:sz w:val="32"/>
          <w:szCs w:val="32"/>
          <w:highlight w:val="none"/>
        </w:rPr>
        <w:t>须具有本项目相关的经营范围，提供营业执照副本原件复印件，及其商事主体网页查询截图（含基本信息及许可经营信息页，加盖公章）；</w:t>
      </w:r>
    </w:p>
    <w:p w14:paraId="5E0B3FD6">
      <w:pPr>
        <w:numPr>
          <w:ilvl w:val="0"/>
          <w:numId w:val="4"/>
        </w:numPr>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比选</w:t>
      </w:r>
      <w:r>
        <w:rPr>
          <w:rFonts w:ascii="仿宋_GB2312" w:eastAsia="仿宋_GB2312"/>
          <w:color w:val="000000"/>
          <w:sz w:val="32"/>
          <w:szCs w:val="32"/>
          <w:highlight w:val="none"/>
        </w:rPr>
        <w:t>人法人证书及法人身份证复印件；被委托人</w:t>
      </w:r>
      <w:r>
        <w:rPr>
          <w:rFonts w:hint="eastAsia" w:ascii="仿宋_GB2312" w:eastAsia="仿宋_GB2312"/>
          <w:color w:val="000000"/>
          <w:sz w:val="32"/>
          <w:szCs w:val="32"/>
          <w:highlight w:val="none"/>
        </w:rPr>
        <w:t>比选</w:t>
      </w:r>
      <w:r>
        <w:rPr>
          <w:rFonts w:ascii="仿宋_GB2312" w:eastAsia="仿宋_GB2312"/>
          <w:color w:val="000000"/>
          <w:sz w:val="32"/>
          <w:szCs w:val="32"/>
          <w:highlight w:val="none"/>
        </w:rPr>
        <w:t>报名的，须额外提供法人代表授权书及被委托人身份证复印件；</w:t>
      </w:r>
    </w:p>
    <w:p w14:paraId="37F1325C">
      <w:pPr>
        <w:numPr>
          <w:ilvl w:val="0"/>
          <w:numId w:val="4"/>
        </w:numPr>
        <w:spacing w:line="560" w:lineRule="exact"/>
        <w:rPr>
          <w:rFonts w:ascii="仿宋_GB2312" w:eastAsia="仿宋_GB2312"/>
          <w:color w:val="000000"/>
          <w:sz w:val="32"/>
          <w:szCs w:val="32"/>
          <w:highlight w:val="none"/>
        </w:rPr>
      </w:pPr>
      <w:r>
        <w:rPr>
          <w:rFonts w:eastAsia="仿宋_GB2312"/>
          <w:sz w:val="32"/>
          <w:szCs w:val="32"/>
          <w:highlight w:val="none"/>
        </w:rPr>
        <w:t>必须未被列入“信用中国”网站中记录失信被执行人或重大税收违法案件当事人名单或政府采购严重违法失信行为记录名单，同时不处于“中国政府采购网中政府采购严重违法失信行为信息记录”</w:t>
      </w:r>
      <w:r>
        <w:rPr>
          <w:rFonts w:hint="eastAsia" w:eastAsia="仿宋_GB2312"/>
          <w:sz w:val="32"/>
          <w:szCs w:val="32"/>
          <w:highlight w:val="none"/>
        </w:rPr>
        <w:t>中的</w:t>
      </w:r>
      <w:r>
        <w:rPr>
          <w:rFonts w:eastAsia="仿宋_GB2312"/>
          <w:sz w:val="32"/>
          <w:szCs w:val="32"/>
          <w:highlight w:val="none"/>
        </w:rPr>
        <w:t>禁止参加政府采购活动期间</w:t>
      </w:r>
      <w:r>
        <w:rPr>
          <w:rFonts w:hint="eastAsia" w:eastAsia="仿宋_GB2312"/>
          <w:sz w:val="32"/>
          <w:szCs w:val="32"/>
          <w:highlight w:val="none"/>
        </w:rPr>
        <w:t>。</w:t>
      </w:r>
    </w:p>
    <w:p w14:paraId="4C04DD4F">
      <w:pPr>
        <w:numPr>
          <w:ilvl w:val="0"/>
          <w:numId w:val="4"/>
        </w:numPr>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本项目不接受联合体比选，不得擅自转包、分包。</w:t>
      </w:r>
    </w:p>
    <w:p w14:paraId="62002FA2">
      <w:pPr>
        <w:widowControl/>
        <w:spacing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六、其他要求</w:t>
      </w:r>
    </w:p>
    <w:p w14:paraId="07C2C620">
      <w:pPr>
        <w:numPr>
          <w:ilvl w:val="0"/>
          <w:numId w:val="5"/>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采购方将在广东省残疾人公益基金会官网www.gdfdp.org.cn上发布比选结果公示，比选方有义务自行关注；</w:t>
      </w:r>
    </w:p>
    <w:p w14:paraId="2488A71F">
      <w:pPr>
        <w:numPr>
          <w:ilvl w:val="0"/>
          <w:numId w:val="5"/>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中标方自中标之日起3个工作日内安排相关人员进行各项工作对接，否则将按违约处理并扣除服务费的</w:t>
      </w:r>
      <w:r>
        <w:rPr>
          <w:rFonts w:hint="eastAsia" w:ascii="仿宋_GB2312" w:eastAsia="仿宋_GB2312"/>
          <w:kern w:val="0"/>
          <w:sz w:val="32"/>
          <w:szCs w:val="32"/>
          <w:highlight w:val="none"/>
        </w:rPr>
        <w:t>20%</w:t>
      </w:r>
      <w:r>
        <w:rPr>
          <w:rFonts w:hint="eastAsia" w:ascii="仿宋_GB2312" w:hAnsi="宋体" w:eastAsia="仿宋_GB2312"/>
          <w:kern w:val="0"/>
          <w:sz w:val="32"/>
          <w:szCs w:val="32"/>
          <w:highlight w:val="none"/>
        </w:rPr>
        <w:t>作为违约金。</w:t>
      </w:r>
    </w:p>
    <w:p w14:paraId="2CD9880B">
      <w:pPr>
        <w:widowControl/>
        <w:spacing w:before="78" w:after="78" w:line="560" w:lineRule="exact"/>
        <w:rPr>
          <w:rFonts w:hint="eastAsia" w:ascii="仿宋_GB2312" w:hAnsi="宋体" w:eastAsia="仿宋_GB2312"/>
          <w:b/>
          <w:bCs/>
          <w:kern w:val="0"/>
          <w:sz w:val="32"/>
          <w:szCs w:val="32"/>
          <w:highlight w:val="none"/>
        </w:rPr>
      </w:pPr>
      <w:r>
        <w:rPr>
          <w:rFonts w:hint="eastAsia" w:ascii="仿宋_GB2312" w:hAnsi="宋体" w:eastAsia="仿宋_GB2312"/>
          <w:b/>
          <w:bCs/>
          <w:kern w:val="0"/>
          <w:sz w:val="32"/>
          <w:szCs w:val="32"/>
          <w:highlight w:val="none"/>
        </w:rPr>
        <w:t>七、注意事项</w:t>
      </w:r>
    </w:p>
    <w:p w14:paraId="773242D0">
      <w:pPr>
        <w:widowControl/>
        <w:numPr>
          <w:ilvl w:val="0"/>
          <w:numId w:val="6"/>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中标人不得将项目非法分包或转包给任何单位和个人。否则，我会有权即刻终止合同，并要求中标人赔偿相应损失。</w:t>
      </w:r>
    </w:p>
    <w:p w14:paraId="54A1E458">
      <w:pPr>
        <w:widowControl/>
        <w:numPr>
          <w:ilvl w:val="0"/>
          <w:numId w:val="6"/>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比选人若认为比选文件的技术要求或其他要求有倾向性或不公正性，可在比选文件递交时间截止前提出，以维护比选行为的公平、公正。</w:t>
      </w:r>
    </w:p>
    <w:p w14:paraId="4046817A">
      <w:pPr>
        <w:widowControl/>
        <w:numPr>
          <w:ilvl w:val="0"/>
          <w:numId w:val="6"/>
        </w:numPr>
        <w:spacing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比选人使用的标准必须是国际公认或国家、或地方政府颁布的同等或更高的标准，如比选人使用的标准低于上述标准,评标委员会将有权不予接受，比选人必须列表将明显的差异详细说明。</w:t>
      </w:r>
    </w:p>
    <w:p w14:paraId="76E982E9">
      <w:pPr>
        <w:widowControl/>
        <w:numPr>
          <w:ilvl w:val="0"/>
          <w:numId w:val="6"/>
        </w:numPr>
        <w:spacing w:after="156" w:afterLines="50" w:line="560" w:lineRule="exact"/>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比选人所提交的比选文件应针对比选需求所列出内容进行响应。</w:t>
      </w:r>
    </w:p>
    <w:p w14:paraId="2F5408C3">
      <w:pPr>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比选评分说明</w:t>
      </w:r>
    </w:p>
    <w:p w14:paraId="2BD7F063">
      <w:pPr>
        <w:widowControl/>
        <w:spacing w:line="560" w:lineRule="exact"/>
        <w:ind w:firstLine="320" w:firstLineChars="1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（一）评标方法：综合评分法           </w:t>
      </w:r>
    </w:p>
    <w:p w14:paraId="52D6C5D7">
      <w:pPr>
        <w:widowControl/>
        <w:spacing w:line="560" w:lineRule="exact"/>
        <w:ind w:firstLine="320" w:firstLineChars="1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（二）价格分计算方法说明：</w:t>
      </w:r>
    </w:p>
    <w:p w14:paraId="6467C265">
      <w:pPr>
        <w:widowControl/>
        <w:spacing w:line="560" w:lineRule="exact"/>
        <w:ind w:firstLine="640" w:firstLineChars="2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价格分</w:t>
      </w:r>
      <w:r>
        <w:rPr>
          <w:rFonts w:hint="eastAsia" w:ascii="仿宋_GB2312" w:eastAsia="仿宋_GB2312"/>
          <w:kern w:val="0"/>
          <w:sz w:val="32"/>
          <w:szCs w:val="32"/>
          <w:highlight w:val="none"/>
        </w:rPr>
        <w:t>=[1-</w:t>
      </w:r>
      <w:r>
        <w:rPr>
          <w:rFonts w:hint="eastAsia" w:ascii="仿宋_GB2312" w:hAnsi="宋体" w:eastAsia="仿宋_GB2312"/>
          <w:kern w:val="0"/>
          <w:sz w:val="32"/>
          <w:szCs w:val="32"/>
          <w:highlight w:val="none"/>
        </w:rPr>
        <w:t>（比选报价</w:t>
      </w:r>
      <w:r>
        <w:rPr>
          <w:rFonts w:hint="eastAsia" w:ascii="仿宋_GB2312" w:eastAsia="仿宋_GB2312"/>
          <w:kern w:val="0"/>
          <w:sz w:val="32"/>
          <w:szCs w:val="32"/>
          <w:highlight w:val="none"/>
        </w:rPr>
        <w:t>-</w:t>
      </w:r>
      <w:r>
        <w:rPr>
          <w:rFonts w:hint="eastAsia" w:ascii="仿宋_GB2312" w:hAnsi="宋体" w:eastAsia="仿宋_GB2312"/>
          <w:kern w:val="0"/>
          <w:sz w:val="32"/>
          <w:szCs w:val="32"/>
          <w:highlight w:val="none"/>
        </w:rPr>
        <w:t>最低价）</w:t>
      </w:r>
      <w:r>
        <w:rPr>
          <w:rFonts w:hint="eastAsia" w:ascii="仿宋_GB2312" w:eastAsia="仿宋_GB2312"/>
          <w:kern w:val="0"/>
          <w:sz w:val="32"/>
          <w:szCs w:val="32"/>
          <w:highlight w:val="none"/>
        </w:rPr>
        <w:t>/</w:t>
      </w:r>
      <w:r>
        <w:rPr>
          <w:rFonts w:hint="eastAsia" w:ascii="仿宋_GB2312" w:hAnsi="宋体" w:eastAsia="仿宋_GB2312"/>
          <w:kern w:val="0"/>
          <w:sz w:val="32"/>
          <w:szCs w:val="32"/>
          <w:highlight w:val="none"/>
        </w:rPr>
        <w:t>最低价</w:t>
      </w:r>
      <w:r>
        <w:rPr>
          <w:rFonts w:hint="eastAsia" w:ascii="仿宋_GB2312" w:eastAsia="仿宋_GB2312"/>
          <w:kern w:val="0"/>
          <w:sz w:val="32"/>
          <w:szCs w:val="32"/>
          <w:highlight w:val="none"/>
        </w:rPr>
        <w:t>]</w:t>
      </w:r>
      <w:r>
        <w:rPr>
          <w:rFonts w:hint="eastAsia" w:ascii="仿宋_GB2312" w:hAnsi="宋体" w:eastAsia="仿宋_GB2312"/>
          <w:kern w:val="0"/>
          <w:sz w:val="32"/>
          <w:szCs w:val="32"/>
          <w:highlight w:val="none"/>
        </w:rPr>
        <w:t>×价格权重×</w:t>
      </w:r>
      <w:r>
        <w:rPr>
          <w:rFonts w:hint="eastAsia" w:ascii="仿宋_GB2312" w:eastAsia="仿宋_GB2312"/>
          <w:kern w:val="0"/>
          <w:sz w:val="32"/>
          <w:szCs w:val="32"/>
          <w:highlight w:val="none"/>
        </w:rPr>
        <w:t>100；</w:t>
      </w:r>
      <w:r>
        <w:rPr>
          <w:rFonts w:hint="eastAsia" w:ascii="仿宋_GB2312" w:hAnsi="宋体" w:eastAsia="仿宋_GB2312"/>
          <w:kern w:val="0"/>
          <w:sz w:val="32"/>
          <w:szCs w:val="32"/>
          <w:highlight w:val="none"/>
        </w:rPr>
        <w:t>当价格分</w:t>
      </w:r>
      <w:r>
        <w:rPr>
          <w:rFonts w:hint="eastAsia" w:ascii="仿宋_GB2312" w:eastAsia="仿宋_GB2312"/>
          <w:kern w:val="0"/>
          <w:sz w:val="32"/>
          <w:szCs w:val="32"/>
          <w:highlight w:val="none"/>
        </w:rPr>
        <w:t>&lt;0</w:t>
      </w:r>
      <w:r>
        <w:rPr>
          <w:rFonts w:hint="eastAsia" w:ascii="仿宋_GB2312" w:hAnsi="宋体" w:eastAsia="仿宋_GB2312"/>
          <w:kern w:val="0"/>
          <w:sz w:val="32"/>
          <w:szCs w:val="32"/>
          <w:highlight w:val="none"/>
        </w:rPr>
        <w:t>时，取</w:t>
      </w:r>
      <w:r>
        <w:rPr>
          <w:rFonts w:hint="eastAsia" w:ascii="仿宋_GB2312" w:eastAsia="仿宋_GB2312"/>
          <w:kern w:val="0"/>
          <w:sz w:val="32"/>
          <w:szCs w:val="32"/>
          <w:highlight w:val="none"/>
        </w:rPr>
        <w:t>0</w:t>
      </w:r>
      <w:r>
        <w:rPr>
          <w:rFonts w:hint="eastAsia" w:ascii="仿宋_GB2312" w:hAnsi="宋体" w:eastAsia="仿宋_GB2312"/>
          <w:kern w:val="0"/>
          <w:sz w:val="32"/>
          <w:szCs w:val="32"/>
          <w:highlight w:val="none"/>
        </w:rPr>
        <w:t>。</w:t>
      </w:r>
    </w:p>
    <w:p w14:paraId="1CA895BE">
      <w:pPr>
        <w:widowControl/>
        <w:spacing w:line="560" w:lineRule="exact"/>
        <w:ind w:firstLine="736" w:firstLineChars="23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本项目比选采用综合评分法，比选人不得以低于成本的报价竞标，比选方报价低于本项目预算</w:t>
      </w:r>
      <w:r>
        <w:rPr>
          <w:rFonts w:hint="eastAsia" w:ascii="仿宋_GB2312" w:eastAsia="仿宋_GB2312"/>
          <w:kern w:val="0"/>
          <w:sz w:val="32"/>
          <w:szCs w:val="32"/>
          <w:highlight w:val="none"/>
        </w:rPr>
        <w:t>15%</w:t>
      </w:r>
      <w:r>
        <w:rPr>
          <w:rFonts w:hint="eastAsia" w:ascii="仿宋_GB2312" w:hAnsi="宋体" w:eastAsia="仿宋_GB2312"/>
          <w:kern w:val="0"/>
          <w:sz w:val="32"/>
          <w:szCs w:val="32"/>
          <w:highlight w:val="none"/>
        </w:rPr>
        <w:t>时，评标委员会有权要求其对成本构成进行说明；如比选人没有附上合理的理由或不按要求提供低价说明，可视为不被接受有风险的报价。</w:t>
      </w:r>
    </w:p>
    <w:p w14:paraId="224434C6">
      <w:pPr>
        <w:widowControl/>
        <w:spacing w:line="560" w:lineRule="exact"/>
        <w:ind w:firstLine="320" w:firstLineChars="1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（三）项目评分表</w:t>
      </w:r>
    </w:p>
    <w:tbl>
      <w:tblPr>
        <w:tblStyle w:val="10"/>
        <w:tblW w:w="9525" w:type="dxa"/>
        <w:jc w:val="center"/>
        <w:tblLayout w:type="fixed"/>
        <w:tblCellMar>
          <w:top w:w="0" w:type="dxa"/>
          <w:left w:w="108" w:type="dxa"/>
          <w:bottom w:w="0" w:type="dxa"/>
          <w:right w:w="108" w:type="dxa"/>
        </w:tblCellMar>
      </w:tblPr>
      <w:tblGrid>
        <w:gridCol w:w="628"/>
        <w:gridCol w:w="713"/>
        <w:gridCol w:w="1254"/>
        <w:gridCol w:w="709"/>
        <w:gridCol w:w="5099"/>
        <w:gridCol w:w="1122"/>
      </w:tblGrid>
      <w:tr w14:paraId="744A76BA">
        <w:tblPrEx>
          <w:tblCellMar>
            <w:top w:w="0" w:type="dxa"/>
            <w:left w:w="108" w:type="dxa"/>
            <w:bottom w:w="0" w:type="dxa"/>
            <w:right w:w="108" w:type="dxa"/>
          </w:tblCellMar>
        </w:tblPrEx>
        <w:trPr>
          <w:trHeight w:val="296" w:hRule="atLeast"/>
          <w:jc w:val="center"/>
        </w:trPr>
        <w:tc>
          <w:tcPr>
            <w:tcW w:w="628" w:type="dxa"/>
            <w:tcBorders>
              <w:top w:val="single" w:color="auto" w:sz="4" w:space="0"/>
              <w:left w:val="single" w:color="auto" w:sz="4" w:space="0"/>
              <w:bottom w:val="single" w:color="auto" w:sz="4" w:space="0"/>
              <w:right w:val="single" w:color="auto" w:sz="4" w:space="0"/>
            </w:tcBorders>
            <w:shd w:val="clear" w:color="000000" w:fill="E6EFFA"/>
            <w:vAlign w:val="center"/>
          </w:tcPr>
          <w:p w14:paraId="2E6C68D1">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7775" w:type="dxa"/>
            <w:gridSpan w:val="4"/>
            <w:tcBorders>
              <w:top w:val="single" w:color="auto" w:sz="4" w:space="0"/>
              <w:left w:val="nil"/>
              <w:bottom w:val="single" w:color="auto" w:sz="4" w:space="0"/>
              <w:right w:val="single" w:color="auto" w:sz="4" w:space="0"/>
            </w:tcBorders>
            <w:shd w:val="clear" w:color="000000" w:fill="E6EFFA"/>
            <w:vAlign w:val="center"/>
          </w:tcPr>
          <w:p w14:paraId="104BBB3D">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评分项</w:t>
            </w:r>
          </w:p>
        </w:tc>
        <w:tc>
          <w:tcPr>
            <w:tcW w:w="1122" w:type="dxa"/>
            <w:tcBorders>
              <w:top w:val="single" w:color="auto" w:sz="4" w:space="0"/>
              <w:left w:val="nil"/>
              <w:bottom w:val="single" w:color="auto" w:sz="4" w:space="0"/>
              <w:right w:val="single" w:color="auto" w:sz="4" w:space="0"/>
            </w:tcBorders>
            <w:shd w:val="clear" w:color="000000" w:fill="E6EFFA"/>
            <w:vAlign w:val="center"/>
          </w:tcPr>
          <w:p w14:paraId="551F7097">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权重</w:t>
            </w:r>
          </w:p>
        </w:tc>
      </w:tr>
      <w:tr w14:paraId="25D7F29C">
        <w:tblPrEx>
          <w:tblCellMar>
            <w:top w:w="0" w:type="dxa"/>
            <w:left w:w="108" w:type="dxa"/>
            <w:bottom w:w="0" w:type="dxa"/>
            <w:right w:w="108" w:type="dxa"/>
          </w:tblCellMar>
        </w:tblPrEx>
        <w:trPr>
          <w:trHeight w:val="296" w:hRule="atLeast"/>
          <w:jc w:val="center"/>
        </w:trPr>
        <w:tc>
          <w:tcPr>
            <w:tcW w:w="628" w:type="dxa"/>
            <w:vMerge w:val="restart"/>
            <w:tcBorders>
              <w:top w:val="nil"/>
              <w:left w:val="single" w:color="auto" w:sz="4" w:space="0"/>
              <w:bottom w:val="single" w:color="000000" w:sz="4" w:space="0"/>
              <w:right w:val="single" w:color="auto" w:sz="4" w:space="0"/>
            </w:tcBorders>
            <w:vAlign w:val="center"/>
          </w:tcPr>
          <w:p w14:paraId="7131BBE6">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1</w:t>
            </w:r>
          </w:p>
        </w:tc>
        <w:tc>
          <w:tcPr>
            <w:tcW w:w="7775" w:type="dxa"/>
            <w:gridSpan w:val="4"/>
            <w:tcBorders>
              <w:top w:val="single" w:color="auto" w:sz="4" w:space="0"/>
              <w:left w:val="nil"/>
              <w:bottom w:val="single" w:color="auto" w:sz="4" w:space="0"/>
              <w:right w:val="single" w:color="auto" w:sz="4" w:space="0"/>
            </w:tcBorders>
            <w:vAlign w:val="center"/>
          </w:tcPr>
          <w:p w14:paraId="6E83A1B2">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价格</w:t>
            </w:r>
          </w:p>
        </w:tc>
        <w:tc>
          <w:tcPr>
            <w:tcW w:w="1122" w:type="dxa"/>
            <w:tcBorders>
              <w:top w:val="nil"/>
              <w:left w:val="nil"/>
              <w:bottom w:val="single" w:color="auto" w:sz="4" w:space="0"/>
              <w:right w:val="single" w:color="auto" w:sz="4" w:space="0"/>
            </w:tcBorders>
            <w:vAlign w:val="center"/>
          </w:tcPr>
          <w:p w14:paraId="65CFB7E9">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30</w:t>
            </w:r>
          </w:p>
        </w:tc>
      </w:tr>
      <w:tr w14:paraId="51530738">
        <w:tblPrEx>
          <w:tblCellMar>
            <w:top w:w="0" w:type="dxa"/>
            <w:left w:w="108" w:type="dxa"/>
            <w:bottom w:w="0" w:type="dxa"/>
            <w:right w:w="108" w:type="dxa"/>
          </w:tblCellMar>
        </w:tblPrEx>
        <w:trPr>
          <w:trHeight w:val="387" w:hRule="atLeast"/>
          <w:jc w:val="center"/>
        </w:trPr>
        <w:tc>
          <w:tcPr>
            <w:tcW w:w="628" w:type="dxa"/>
            <w:vMerge w:val="continue"/>
            <w:tcBorders>
              <w:top w:val="nil"/>
              <w:left w:val="single" w:color="auto" w:sz="4" w:space="0"/>
              <w:bottom w:val="single" w:color="000000" w:sz="4" w:space="0"/>
              <w:right w:val="single" w:color="auto" w:sz="4" w:space="0"/>
            </w:tcBorders>
            <w:vAlign w:val="center"/>
          </w:tcPr>
          <w:p w14:paraId="07717AA8">
            <w:pPr>
              <w:widowControl/>
              <w:jc w:val="left"/>
              <w:rPr>
                <w:rFonts w:hint="eastAsia" w:ascii="宋体" w:hAnsi="宋体" w:cs="宋体"/>
                <w:b/>
                <w:bCs/>
                <w:color w:val="0000FF"/>
                <w:kern w:val="0"/>
                <w:szCs w:val="21"/>
                <w:highlight w:val="none"/>
              </w:rPr>
            </w:pPr>
          </w:p>
        </w:tc>
        <w:tc>
          <w:tcPr>
            <w:tcW w:w="7775" w:type="dxa"/>
            <w:gridSpan w:val="4"/>
            <w:tcBorders>
              <w:top w:val="single" w:color="auto" w:sz="4" w:space="0"/>
              <w:left w:val="nil"/>
              <w:bottom w:val="single" w:color="auto" w:sz="4" w:space="0"/>
              <w:right w:val="single" w:color="auto" w:sz="4" w:space="0"/>
            </w:tcBorders>
            <w:vAlign w:val="center"/>
          </w:tcPr>
          <w:p w14:paraId="13D6BB8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评分准则</w:t>
            </w:r>
          </w:p>
        </w:tc>
        <w:tc>
          <w:tcPr>
            <w:tcW w:w="1122" w:type="dxa"/>
            <w:tcBorders>
              <w:top w:val="nil"/>
              <w:left w:val="nil"/>
              <w:bottom w:val="single" w:color="auto" w:sz="4" w:space="0"/>
              <w:right w:val="single" w:color="auto" w:sz="4" w:space="0"/>
            </w:tcBorders>
            <w:vAlign w:val="center"/>
          </w:tcPr>
          <w:p w14:paraId="593CA41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专家打分</w:t>
            </w:r>
          </w:p>
        </w:tc>
      </w:tr>
      <w:tr w14:paraId="05B42737">
        <w:tblPrEx>
          <w:tblCellMar>
            <w:top w:w="0" w:type="dxa"/>
            <w:left w:w="108" w:type="dxa"/>
            <w:bottom w:w="0" w:type="dxa"/>
            <w:right w:w="108" w:type="dxa"/>
          </w:tblCellMar>
        </w:tblPrEx>
        <w:trPr>
          <w:trHeight w:val="921" w:hRule="atLeast"/>
          <w:jc w:val="center"/>
        </w:trPr>
        <w:tc>
          <w:tcPr>
            <w:tcW w:w="628" w:type="dxa"/>
            <w:vMerge w:val="continue"/>
            <w:tcBorders>
              <w:top w:val="nil"/>
              <w:left w:val="single" w:color="auto" w:sz="4" w:space="0"/>
              <w:bottom w:val="single" w:color="auto" w:sz="4" w:space="0"/>
              <w:right w:val="single" w:color="auto" w:sz="4" w:space="0"/>
            </w:tcBorders>
            <w:vAlign w:val="center"/>
          </w:tcPr>
          <w:p w14:paraId="6F253F11">
            <w:pPr>
              <w:widowControl/>
              <w:jc w:val="left"/>
              <w:rPr>
                <w:rFonts w:hint="eastAsia" w:ascii="宋体" w:hAnsi="宋体" w:cs="宋体"/>
                <w:b/>
                <w:bCs/>
                <w:color w:val="0000FF"/>
                <w:kern w:val="0"/>
                <w:szCs w:val="21"/>
                <w:highlight w:val="none"/>
              </w:rPr>
            </w:pPr>
          </w:p>
        </w:tc>
        <w:tc>
          <w:tcPr>
            <w:tcW w:w="7775" w:type="dxa"/>
            <w:gridSpan w:val="4"/>
            <w:tcBorders>
              <w:top w:val="single" w:color="auto" w:sz="4" w:space="0"/>
              <w:left w:val="nil"/>
              <w:bottom w:val="single" w:color="auto" w:sz="4" w:space="0"/>
              <w:right w:val="single" w:color="auto" w:sz="4" w:space="0"/>
            </w:tcBorders>
            <w:vAlign w:val="center"/>
          </w:tcPr>
          <w:p w14:paraId="254BD9F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综合评分法中的价格分统一采用低价优先法计算，即满足比选文件要求且比选价格最低的比选报价（万元）为评标基准价，其价格分为满分。其他比选人的价格分统一按照下列公式计算：价格分=[1-（比选报价-最低价）/最低价]×价格权重×100。</w:t>
            </w:r>
          </w:p>
        </w:tc>
        <w:tc>
          <w:tcPr>
            <w:tcW w:w="1122" w:type="dxa"/>
            <w:tcBorders>
              <w:top w:val="nil"/>
              <w:left w:val="nil"/>
              <w:bottom w:val="single" w:color="auto" w:sz="4" w:space="0"/>
              <w:right w:val="single" w:color="auto" w:sz="4" w:space="0"/>
            </w:tcBorders>
            <w:vAlign w:val="center"/>
          </w:tcPr>
          <w:p w14:paraId="135BC51E">
            <w:pPr>
              <w:widowControl/>
              <w:jc w:val="center"/>
              <w:rPr>
                <w:rFonts w:hint="eastAsia" w:ascii="宋体" w:hAnsi="宋体" w:cs="宋体"/>
                <w:color w:val="000000"/>
                <w:kern w:val="0"/>
                <w:szCs w:val="21"/>
                <w:highlight w:val="none"/>
              </w:rPr>
            </w:pPr>
          </w:p>
        </w:tc>
      </w:tr>
      <w:tr w14:paraId="6F8B135E">
        <w:tblPrEx>
          <w:tblCellMar>
            <w:top w:w="0" w:type="dxa"/>
            <w:left w:w="108" w:type="dxa"/>
            <w:bottom w:w="0" w:type="dxa"/>
            <w:right w:w="108" w:type="dxa"/>
          </w:tblCellMar>
        </w:tblPrEx>
        <w:trPr>
          <w:trHeight w:val="346" w:hRule="atLeast"/>
          <w:jc w:val="center"/>
        </w:trPr>
        <w:tc>
          <w:tcPr>
            <w:tcW w:w="628" w:type="dxa"/>
            <w:vMerge w:val="restart"/>
            <w:tcBorders>
              <w:top w:val="single" w:color="auto" w:sz="4" w:space="0"/>
              <w:left w:val="single" w:color="auto" w:sz="4" w:space="0"/>
              <w:bottom w:val="single" w:color="auto" w:sz="4" w:space="0"/>
              <w:right w:val="single" w:color="auto" w:sz="4" w:space="0"/>
            </w:tcBorders>
            <w:vAlign w:val="center"/>
          </w:tcPr>
          <w:p w14:paraId="44B44FF7">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2</w:t>
            </w:r>
          </w:p>
        </w:tc>
        <w:tc>
          <w:tcPr>
            <w:tcW w:w="2676" w:type="dxa"/>
            <w:gridSpan w:val="3"/>
            <w:tcBorders>
              <w:top w:val="single" w:color="auto" w:sz="4" w:space="0"/>
              <w:left w:val="single" w:color="auto" w:sz="4" w:space="0"/>
              <w:bottom w:val="single" w:color="auto" w:sz="4" w:space="0"/>
              <w:right w:val="single" w:color="auto" w:sz="4" w:space="0"/>
            </w:tcBorders>
          </w:tcPr>
          <w:p w14:paraId="421BC017">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商务部分</w:t>
            </w:r>
          </w:p>
        </w:tc>
        <w:tc>
          <w:tcPr>
            <w:tcW w:w="6221" w:type="dxa"/>
            <w:gridSpan w:val="2"/>
            <w:tcBorders>
              <w:top w:val="single" w:color="auto" w:sz="4" w:space="0"/>
              <w:left w:val="single" w:color="auto" w:sz="4" w:space="0"/>
              <w:bottom w:val="single" w:color="auto" w:sz="4" w:space="0"/>
              <w:right w:val="single" w:color="auto" w:sz="4" w:space="0"/>
            </w:tcBorders>
          </w:tcPr>
          <w:p w14:paraId="0C1C3B99">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20</w:t>
            </w:r>
          </w:p>
        </w:tc>
      </w:tr>
      <w:tr w14:paraId="74CB25FB">
        <w:tblPrEx>
          <w:tblCellMar>
            <w:top w:w="0" w:type="dxa"/>
            <w:left w:w="108" w:type="dxa"/>
            <w:bottom w:w="0" w:type="dxa"/>
            <w:right w:w="108" w:type="dxa"/>
          </w:tblCellMar>
        </w:tblPrEx>
        <w:trPr>
          <w:trHeight w:val="296"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2A2D112F">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shd w:val="clear" w:color="000000" w:fill="E6EFFA"/>
            <w:vAlign w:val="center"/>
          </w:tcPr>
          <w:p w14:paraId="36774C6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254" w:type="dxa"/>
            <w:tcBorders>
              <w:top w:val="single" w:color="auto" w:sz="4" w:space="0"/>
              <w:left w:val="single" w:color="auto" w:sz="4" w:space="0"/>
              <w:bottom w:val="single" w:color="auto" w:sz="4" w:space="0"/>
              <w:right w:val="single" w:color="auto" w:sz="4" w:space="0"/>
            </w:tcBorders>
            <w:shd w:val="clear" w:color="000000" w:fill="E6EFFA"/>
            <w:vAlign w:val="center"/>
          </w:tcPr>
          <w:p w14:paraId="68423D3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评分因素</w:t>
            </w:r>
          </w:p>
        </w:tc>
        <w:tc>
          <w:tcPr>
            <w:tcW w:w="709" w:type="dxa"/>
            <w:tcBorders>
              <w:top w:val="single" w:color="auto" w:sz="4" w:space="0"/>
              <w:left w:val="single" w:color="auto" w:sz="4" w:space="0"/>
              <w:bottom w:val="single" w:color="auto" w:sz="4" w:space="0"/>
              <w:right w:val="single" w:color="auto" w:sz="4" w:space="0"/>
            </w:tcBorders>
            <w:shd w:val="clear" w:color="000000" w:fill="E6EFFA"/>
            <w:vAlign w:val="center"/>
          </w:tcPr>
          <w:p w14:paraId="501A7F1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分值</w:t>
            </w:r>
          </w:p>
          <w:p w14:paraId="596B88C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范围</w:t>
            </w:r>
          </w:p>
        </w:tc>
        <w:tc>
          <w:tcPr>
            <w:tcW w:w="5099" w:type="dxa"/>
            <w:tcBorders>
              <w:top w:val="single" w:color="auto" w:sz="4" w:space="0"/>
              <w:left w:val="single" w:color="auto" w:sz="4" w:space="0"/>
              <w:bottom w:val="single" w:color="auto" w:sz="4" w:space="0"/>
              <w:right w:val="single" w:color="auto" w:sz="4" w:space="0"/>
            </w:tcBorders>
            <w:shd w:val="clear" w:color="000000" w:fill="E6EFFA"/>
            <w:vAlign w:val="center"/>
          </w:tcPr>
          <w:p w14:paraId="00A3E70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评分准则</w:t>
            </w:r>
          </w:p>
        </w:tc>
        <w:tc>
          <w:tcPr>
            <w:tcW w:w="1122" w:type="dxa"/>
            <w:tcBorders>
              <w:top w:val="single" w:color="auto" w:sz="4" w:space="0"/>
              <w:left w:val="single" w:color="auto" w:sz="4" w:space="0"/>
              <w:bottom w:val="single" w:color="auto" w:sz="4" w:space="0"/>
              <w:right w:val="single" w:color="auto" w:sz="4" w:space="0"/>
            </w:tcBorders>
            <w:shd w:val="clear" w:color="000000" w:fill="E6EFFA"/>
            <w:vAlign w:val="center"/>
          </w:tcPr>
          <w:p w14:paraId="6207AFE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专家打分</w:t>
            </w:r>
          </w:p>
        </w:tc>
      </w:tr>
      <w:tr w14:paraId="2A62041F">
        <w:tblPrEx>
          <w:tblCellMar>
            <w:top w:w="0" w:type="dxa"/>
            <w:left w:w="108" w:type="dxa"/>
            <w:bottom w:w="0" w:type="dxa"/>
            <w:right w:w="108" w:type="dxa"/>
          </w:tblCellMar>
        </w:tblPrEx>
        <w:trPr>
          <w:trHeight w:val="1525"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5CC00961">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477FCD0">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1</w:t>
            </w:r>
          </w:p>
        </w:tc>
        <w:tc>
          <w:tcPr>
            <w:tcW w:w="1254" w:type="dxa"/>
            <w:tcBorders>
              <w:top w:val="single" w:color="auto" w:sz="4" w:space="0"/>
              <w:left w:val="single" w:color="auto" w:sz="4" w:space="0"/>
              <w:bottom w:val="single" w:color="auto" w:sz="4" w:space="0"/>
              <w:right w:val="single" w:color="auto" w:sz="4" w:space="0"/>
            </w:tcBorders>
            <w:vAlign w:val="center"/>
          </w:tcPr>
          <w:p w14:paraId="7C79FF2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经营范围</w:t>
            </w:r>
          </w:p>
        </w:tc>
        <w:tc>
          <w:tcPr>
            <w:tcW w:w="709" w:type="dxa"/>
            <w:tcBorders>
              <w:top w:val="single" w:color="auto" w:sz="4" w:space="0"/>
              <w:left w:val="single" w:color="auto" w:sz="4" w:space="0"/>
              <w:bottom w:val="single" w:color="auto" w:sz="4" w:space="0"/>
              <w:right w:val="single" w:color="auto" w:sz="4" w:space="0"/>
            </w:tcBorders>
            <w:vAlign w:val="center"/>
          </w:tcPr>
          <w:p w14:paraId="7554101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5099" w:type="dxa"/>
            <w:tcBorders>
              <w:top w:val="single" w:color="auto" w:sz="4" w:space="0"/>
              <w:left w:val="single" w:color="auto" w:sz="4" w:space="0"/>
              <w:bottom w:val="single" w:color="auto" w:sz="4" w:space="0"/>
              <w:right w:val="single" w:color="auto" w:sz="4" w:space="0"/>
            </w:tcBorders>
          </w:tcPr>
          <w:p w14:paraId="070C6676">
            <w:pPr>
              <w:widowControl/>
              <w:jc w:val="lef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评审标准：</w:t>
            </w:r>
            <w:r>
              <w:rPr>
                <w:rFonts w:hint="eastAsia" w:ascii="宋体" w:hAnsi="宋体" w:cs="宋体"/>
                <w:color w:val="000000"/>
                <w:kern w:val="0"/>
                <w:szCs w:val="21"/>
                <w:highlight w:val="none"/>
              </w:rPr>
              <w:t xml:space="preserve">根据比选人经营范围，有与活动需求相关的类目得5分。  </w:t>
            </w:r>
            <w:r>
              <w:rPr>
                <w:rFonts w:hint="eastAsia" w:ascii="宋体" w:hAnsi="宋体" w:cs="宋体"/>
                <w:b/>
                <w:bCs/>
                <w:color w:val="000000"/>
                <w:kern w:val="0"/>
                <w:szCs w:val="21"/>
                <w:highlight w:val="none"/>
              </w:rPr>
              <w:t xml:space="preserve">                                                      证明文件：</w:t>
            </w:r>
            <w:r>
              <w:rPr>
                <w:rFonts w:hint="eastAsia" w:ascii="宋体" w:hAnsi="宋体" w:cs="宋体"/>
                <w:color w:val="000000"/>
                <w:kern w:val="0"/>
                <w:szCs w:val="21"/>
                <w:highlight w:val="none"/>
              </w:rPr>
              <w:t>比选人须提供商事主体登记及备案信息查询记录并加盖比选单位公章，未按要求提供相关资料或文件不清晰导致专家无法识别的不计得分。</w:t>
            </w:r>
          </w:p>
        </w:tc>
        <w:tc>
          <w:tcPr>
            <w:tcW w:w="1122" w:type="dxa"/>
            <w:tcBorders>
              <w:top w:val="single" w:color="auto" w:sz="4" w:space="0"/>
              <w:left w:val="single" w:color="auto" w:sz="4" w:space="0"/>
              <w:bottom w:val="single" w:color="auto" w:sz="4" w:space="0"/>
              <w:right w:val="single" w:color="auto" w:sz="4" w:space="0"/>
            </w:tcBorders>
          </w:tcPr>
          <w:p w14:paraId="7E82307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5DC33489">
        <w:tblPrEx>
          <w:tblCellMar>
            <w:top w:w="0" w:type="dxa"/>
            <w:left w:w="108" w:type="dxa"/>
            <w:bottom w:w="0" w:type="dxa"/>
            <w:right w:w="108" w:type="dxa"/>
          </w:tblCellMar>
        </w:tblPrEx>
        <w:trPr>
          <w:trHeight w:val="1573"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18053EEF">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4FAB4BFF">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2</w:t>
            </w:r>
          </w:p>
        </w:tc>
        <w:tc>
          <w:tcPr>
            <w:tcW w:w="1254" w:type="dxa"/>
            <w:tcBorders>
              <w:top w:val="single" w:color="auto" w:sz="4" w:space="0"/>
              <w:left w:val="single" w:color="auto" w:sz="4" w:space="0"/>
              <w:bottom w:val="single" w:color="auto" w:sz="4" w:space="0"/>
              <w:right w:val="single" w:color="auto" w:sz="4" w:space="0"/>
            </w:tcBorders>
            <w:vAlign w:val="center"/>
          </w:tcPr>
          <w:p w14:paraId="28920A3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注册资金</w:t>
            </w:r>
          </w:p>
        </w:tc>
        <w:tc>
          <w:tcPr>
            <w:tcW w:w="709" w:type="dxa"/>
            <w:tcBorders>
              <w:top w:val="single" w:color="auto" w:sz="4" w:space="0"/>
              <w:left w:val="single" w:color="auto" w:sz="4" w:space="0"/>
              <w:bottom w:val="single" w:color="auto" w:sz="4" w:space="0"/>
              <w:right w:val="single" w:color="auto" w:sz="4" w:space="0"/>
            </w:tcBorders>
            <w:vAlign w:val="center"/>
          </w:tcPr>
          <w:p w14:paraId="5D61643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5099" w:type="dxa"/>
            <w:tcBorders>
              <w:top w:val="single" w:color="auto" w:sz="4" w:space="0"/>
              <w:left w:val="single" w:color="auto" w:sz="4" w:space="0"/>
              <w:bottom w:val="single" w:color="auto" w:sz="4" w:space="0"/>
              <w:right w:val="single" w:color="auto" w:sz="4" w:space="0"/>
            </w:tcBorders>
          </w:tcPr>
          <w:p w14:paraId="2F08011A">
            <w:pPr>
              <w:widowControl/>
              <w:jc w:val="left"/>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评审标准：</w:t>
            </w:r>
            <w:r>
              <w:rPr>
                <w:rFonts w:hint="eastAsia" w:ascii="宋体" w:hAnsi="宋体" w:cs="宋体"/>
                <w:color w:val="000000"/>
                <w:kern w:val="0"/>
                <w:szCs w:val="21"/>
                <w:highlight w:val="none"/>
              </w:rPr>
              <w:t xml:space="preserve">比选人注册资金100万元，得1分；每多100万元加1分，满分3分，未达100万元不得分。                                                                                                    </w:t>
            </w:r>
            <w:r>
              <w:rPr>
                <w:rFonts w:hint="eastAsia" w:ascii="宋体" w:hAnsi="宋体" w:cs="宋体"/>
                <w:b/>
                <w:bCs/>
                <w:color w:val="000000"/>
                <w:kern w:val="0"/>
                <w:szCs w:val="21"/>
                <w:highlight w:val="none"/>
              </w:rPr>
              <w:t>证明文件：</w:t>
            </w:r>
            <w:r>
              <w:rPr>
                <w:rFonts w:hint="eastAsia" w:ascii="宋体" w:hAnsi="宋体" w:cs="宋体"/>
                <w:color w:val="000000"/>
                <w:kern w:val="0"/>
                <w:szCs w:val="21"/>
                <w:highlight w:val="none"/>
              </w:rPr>
              <w:t>比选人须提供商事主体登记及备案信息查询记录并加盖比选单位公章，未按要求提供相关资料或文件不清晰导致专家无法识别的不计得分。</w:t>
            </w:r>
          </w:p>
        </w:tc>
        <w:tc>
          <w:tcPr>
            <w:tcW w:w="1122" w:type="dxa"/>
            <w:tcBorders>
              <w:top w:val="single" w:color="auto" w:sz="4" w:space="0"/>
              <w:left w:val="single" w:color="auto" w:sz="4" w:space="0"/>
              <w:bottom w:val="single" w:color="auto" w:sz="4" w:space="0"/>
              <w:right w:val="single" w:color="auto" w:sz="4" w:space="0"/>
            </w:tcBorders>
          </w:tcPr>
          <w:p w14:paraId="2F626A5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04E7E1DD">
        <w:tblPrEx>
          <w:tblCellMar>
            <w:top w:w="0" w:type="dxa"/>
            <w:left w:w="108" w:type="dxa"/>
            <w:bottom w:w="0" w:type="dxa"/>
            <w:right w:w="108" w:type="dxa"/>
          </w:tblCellMar>
        </w:tblPrEx>
        <w:trPr>
          <w:trHeight w:val="1794"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5C7CDE36">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4CF68FD3">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3</w:t>
            </w:r>
          </w:p>
        </w:tc>
        <w:tc>
          <w:tcPr>
            <w:tcW w:w="1254" w:type="dxa"/>
            <w:tcBorders>
              <w:top w:val="single" w:color="auto" w:sz="4" w:space="0"/>
              <w:left w:val="single" w:color="auto" w:sz="4" w:space="0"/>
              <w:bottom w:val="single" w:color="auto" w:sz="4" w:space="0"/>
              <w:right w:val="single" w:color="auto" w:sz="4" w:space="0"/>
            </w:tcBorders>
            <w:vAlign w:val="center"/>
          </w:tcPr>
          <w:p w14:paraId="4D231019">
            <w:pPr>
              <w:widowControl/>
              <w:jc w:val="center"/>
              <w:rPr>
                <w:rFonts w:hint="eastAsia" w:ascii="宋体" w:hAnsi="宋体" w:cs="宋体"/>
                <w:kern w:val="0"/>
                <w:szCs w:val="21"/>
                <w:highlight w:val="none"/>
              </w:rPr>
            </w:pPr>
            <w:r>
              <w:rPr>
                <w:rFonts w:hint="eastAsia" w:ascii="宋体" w:hAnsi="宋体" w:cs="宋体"/>
                <w:kern w:val="0"/>
                <w:szCs w:val="21"/>
                <w:highlight w:val="none"/>
              </w:rPr>
              <w:t>同类活动经验</w:t>
            </w:r>
          </w:p>
        </w:tc>
        <w:tc>
          <w:tcPr>
            <w:tcW w:w="709" w:type="dxa"/>
            <w:tcBorders>
              <w:top w:val="single" w:color="auto" w:sz="4" w:space="0"/>
              <w:left w:val="single" w:color="auto" w:sz="4" w:space="0"/>
              <w:bottom w:val="single" w:color="auto" w:sz="4" w:space="0"/>
              <w:right w:val="single" w:color="auto" w:sz="4" w:space="0"/>
            </w:tcBorders>
            <w:vAlign w:val="center"/>
          </w:tcPr>
          <w:p w14:paraId="2EDB668F">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5099" w:type="dxa"/>
            <w:tcBorders>
              <w:top w:val="single" w:color="auto" w:sz="4" w:space="0"/>
              <w:left w:val="single" w:color="auto" w:sz="4" w:space="0"/>
              <w:bottom w:val="single" w:color="auto" w:sz="4" w:space="0"/>
              <w:right w:val="single" w:color="auto" w:sz="4" w:space="0"/>
            </w:tcBorders>
          </w:tcPr>
          <w:p w14:paraId="47B1FCDA">
            <w:pPr>
              <w:widowControl/>
              <w:jc w:val="left"/>
              <w:rPr>
                <w:rFonts w:hint="eastAsia" w:ascii="宋体" w:hAnsi="宋体" w:cs="宋体"/>
                <w:kern w:val="0"/>
                <w:szCs w:val="21"/>
                <w:highlight w:val="none"/>
              </w:rPr>
            </w:pPr>
            <w:r>
              <w:rPr>
                <w:rFonts w:hint="eastAsia" w:ascii="宋体" w:hAnsi="宋体" w:cs="宋体"/>
                <w:b/>
                <w:bCs/>
                <w:kern w:val="0"/>
                <w:szCs w:val="21"/>
                <w:highlight w:val="none"/>
              </w:rPr>
              <w:t>评审标准：</w:t>
            </w:r>
            <w:r>
              <w:rPr>
                <w:rFonts w:hint="eastAsia" w:ascii="宋体" w:hAnsi="宋体" w:cs="宋体"/>
                <w:kern w:val="0"/>
                <w:szCs w:val="21"/>
                <w:highlight w:val="none"/>
              </w:rPr>
              <w:t>比选人于2022年至20</w:t>
            </w:r>
            <w:bookmarkStart w:id="2" w:name="_GoBack"/>
            <w:bookmarkEnd w:id="2"/>
            <w:r>
              <w:rPr>
                <w:rFonts w:hint="eastAsia" w:ascii="宋体" w:hAnsi="宋体" w:cs="宋体"/>
                <w:kern w:val="0"/>
                <w:szCs w:val="21"/>
                <w:highlight w:val="none"/>
              </w:rPr>
              <w:t xml:space="preserve">25年10月，承接同类活动项目每提供一个得2分，满分6分。                                                                                               </w:t>
            </w:r>
            <w:r>
              <w:rPr>
                <w:rFonts w:hint="eastAsia" w:ascii="宋体" w:hAnsi="宋体" w:cs="宋体"/>
                <w:b/>
                <w:bCs/>
                <w:kern w:val="0"/>
                <w:szCs w:val="21"/>
                <w:highlight w:val="none"/>
              </w:rPr>
              <w:t>证明文件：</w:t>
            </w:r>
            <w:r>
              <w:rPr>
                <w:rFonts w:hint="eastAsia" w:ascii="宋体" w:hAnsi="宋体" w:cs="宋体"/>
                <w:kern w:val="0"/>
                <w:szCs w:val="21"/>
                <w:highlight w:val="none"/>
              </w:rPr>
              <w:t>比选人提供中标通知书或合同关键页，比选人须为中标通知书或合同中唯一的经营者，联合体比选和联合经营合同不计得分，未按要求提供相关资料或文件不清晰导致专家无法识别的不计得分。</w:t>
            </w:r>
          </w:p>
        </w:tc>
        <w:tc>
          <w:tcPr>
            <w:tcW w:w="1122" w:type="dxa"/>
            <w:tcBorders>
              <w:top w:val="single" w:color="auto" w:sz="4" w:space="0"/>
              <w:left w:val="single" w:color="auto" w:sz="4" w:space="0"/>
              <w:bottom w:val="single" w:color="auto" w:sz="4" w:space="0"/>
              <w:right w:val="single" w:color="auto" w:sz="4" w:space="0"/>
            </w:tcBorders>
          </w:tcPr>
          <w:p w14:paraId="3E41E3F6">
            <w:pPr>
              <w:widowControl/>
              <w:jc w:val="center"/>
              <w:rPr>
                <w:rFonts w:hint="eastAsia" w:ascii="宋体" w:hAnsi="宋体" w:cs="宋体"/>
                <w:color w:val="FF0000"/>
                <w:kern w:val="0"/>
                <w:szCs w:val="21"/>
                <w:highlight w:val="none"/>
              </w:rPr>
            </w:pPr>
            <w:r>
              <w:rPr>
                <w:rFonts w:hint="eastAsia" w:ascii="宋体" w:hAnsi="宋体" w:cs="宋体"/>
                <w:color w:val="FF0000"/>
                <w:kern w:val="0"/>
                <w:szCs w:val="21"/>
                <w:highlight w:val="none"/>
              </w:rPr>
              <w:t>　</w:t>
            </w:r>
          </w:p>
        </w:tc>
      </w:tr>
      <w:tr w14:paraId="6F2867BF">
        <w:tblPrEx>
          <w:tblCellMar>
            <w:top w:w="0" w:type="dxa"/>
            <w:left w:w="108" w:type="dxa"/>
            <w:bottom w:w="0" w:type="dxa"/>
            <w:right w:w="108" w:type="dxa"/>
          </w:tblCellMar>
        </w:tblPrEx>
        <w:trPr>
          <w:trHeight w:val="1624"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1B01C8AC">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3FF24155">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4</w:t>
            </w:r>
          </w:p>
        </w:tc>
        <w:tc>
          <w:tcPr>
            <w:tcW w:w="1254" w:type="dxa"/>
            <w:tcBorders>
              <w:top w:val="single" w:color="auto" w:sz="4" w:space="0"/>
              <w:left w:val="single" w:color="auto" w:sz="4" w:space="0"/>
              <w:bottom w:val="single" w:color="auto" w:sz="4" w:space="0"/>
              <w:right w:val="single" w:color="auto" w:sz="4" w:space="0"/>
            </w:tcBorders>
            <w:vAlign w:val="center"/>
          </w:tcPr>
          <w:p w14:paraId="6CBEB70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行业资质、荣誉</w:t>
            </w:r>
          </w:p>
        </w:tc>
        <w:tc>
          <w:tcPr>
            <w:tcW w:w="709" w:type="dxa"/>
            <w:tcBorders>
              <w:top w:val="single" w:color="auto" w:sz="4" w:space="0"/>
              <w:left w:val="single" w:color="auto" w:sz="4" w:space="0"/>
              <w:bottom w:val="single" w:color="auto" w:sz="4" w:space="0"/>
              <w:right w:val="single" w:color="auto" w:sz="4" w:space="0"/>
            </w:tcBorders>
            <w:vAlign w:val="center"/>
          </w:tcPr>
          <w:p w14:paraId="6685C4B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5099" w:type="dxa"/>
            <w:tcBorders>
              <w:top w:val="single" w:color="auto" w:sz="4" w:space="0"/>
              <w:left w:val="single" w:color="auto" w:sz="4" w:space="0"/>
              <w:bottom w:val="single" w:color="auto" w:sz="4" w:space="0"/>
              <w:right w:val="single" w:color="auto" w:sz="4" w:space="0"/>
            </w:tcBorders>
          </w:tcPr>
          <w:p w14:paraId="64AC2360">
            <w:pPr>
              <w:widowControl/>
              <w:jc w:val="left"/>
              <w:rPr>
                <w:rFonts w:hint="eastAsia" w:ascii="宋体" w:hAnsi="宋体" w:cs="宋体"/>
                <w:kern w:val="0"/>
                <w:szCs w:val="21"/>
                <w:highlight w:val="none"/>
              </w:rPr>
            </w:pPr>
            <w:r>
              <w:rPr>
                <w:rFonts w:hint="eastAsia" w:ascii="宋体" w:hAnsi="宋体" w:cs="宋体"/>
                <w:b/>
                <w:bCs/>
                <w:kern w:val="0"/>
                <w:szCs w:val="21"/>
                <w:highlight w:val="none"/>
              </w:rPr>
              <w:t>评审标准：</w:t>
            </w:r>
            <w:r>
              <w:rPr>
                <w:rFonts w:hint="eastAsia" w:ascii="宋体" w:hAnsi="宋体" w:cs="宋体"/>
                <w:kern w:val="0"/>
                <w:szCs w:val="21"/>
                <w:highlight w:val="none"/>
              </w:rPr>
              <w:t xml:space="preserve">提供企业获得（授予）的行业资质或荣誉证明，每提供一项得1分，满分得3分。         </w:t>
            </w:r>
          </w:p>
          <w:p w14:paraId="48814A70">
            <w:pPr>
              <w:widowControl/>
              <w:jc w:val="left"/>
              <w:rPr>
                <w:rFonts w:hint="eastAsia" w:ascii="宋体" w:hAnsi="宋体" w:cs="宋体"/>
                <w:b/>
                <w:bCs/>
                <w:color w:val="FF0000"/>
                <w:kern w:val="0"/>
                <w:szCs w:val="21"/>
                <w:highlight w:val="none"/>
              </w:rPr>
            </w:pPr>
            <w:r>
              <w:rPr>
                <w:rFonts w:hint="eastAsia" w:ascii="宋体" w:hAnsi="宋体" w:cs="宋体"/>
                <w:b/>
                <w:bCs/>
                <w:color w:val="000000"/>
                <w:kern w:val="0"/>
                <w:szCs w:val="21"/>
                <w:highlight w:val="none"/>
              </w:rPr>
              <w:t>证明文件：</w:t>
            </w:r>
            <w:r>
              <w:rPr>
                <w:rFonts w:hint="eastAsia" w:ascii="宋体" w:hAnsi="宋体" w:cs="宋体"/>
                <w:color w:val="000000"/>
                <w:kern w:val="0"/>
                <w:szCs w:val="21"/>
                <w:highlight w:val="none"/>
              </w:rPr>
              <w:t>提供区级以上活动主办单位颁发荣誉证明或政府单位颁发的</w:t>
            </w:r>
            <w:r>
              <w:rPr>
                <w:rFonts w:hint="eastAsia" w:ascii="宋体" w:hAnsi="宋体" w:cs="宋体"/>
                <w:kern w:val="0"/>
                <w:szCs w:val="21"/>
                <w:highlight w:val="none"/>
              </w:rPr>
              <w:t>行</w:t>
            </w:r>
            <w:r>
              <w:rPr>
                <w:rFonts w:hint="eastAsia" w:ascii="宋体" w:hAnsi="宋体" w:cs="宋体"/>
                <w:color w:val="000000"/>
                <w:kern w:val="0"/>
                <w:szCs w:val="21"/>
                <w:highlight w:val="none"/>
              </w:rPr>
              <w:t>业相关资质荣誉。未按要求提供相关资料或文件不清晰导致专家无法识别的不计得分。</w:t>
            </w:r>
          </w:p>
        </w:tc>
        <w:tc>
          <w:tcPr>
            <w:tcW w:w="1122" w:type="dxa"/>
            <w:tcBorders>
              <w:top w:val="single" w:color="auto" w:sz="4" w:space="0"/>
              <w:left w:val="single" w:color="auto" w:sz="4" w:space="0"/>
              <w:bottom w:val="single" w:color="auto" w:sz="4" w:space="0"/>
              <w:right w:val="single" w:color="auto" w:sz="4" w:space="0"/>
            </w:tcBorders>
          </w:tcPr>
          <w:p w14:paraId="303F18D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716F16B8">
        <w:tblPrEx>
          <w:tblCellMar>
            <w:top w:w="0" w:type="dxa"/>
            <w:left w:w="108" w:type="dxa"/>
            <w:bottom w:w="0" w:type="dxa"/>
            <w:right w:w="108" w:type="dxa"/>
          </w:tblCellMar>
        </w:tblPrEx>
        <w:trPr>
          <w:trHeight w:val="1884"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730898A0">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947A800">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5</w:t>
            </w:r>
          </w:p>
        </w:tc>
        <w:tc>
          <w:tcPr>
            <w:tcW w:w="1254" w:type="dxa"/>
            <w:tcBorders>
              <w:top w:val="single" w:color="auto" w:sz="4" w:space="0"/>
              <w:left w:val="single" w:color="auto" w:sz="4" w:space="0"/>
              <w:bottom w:val="single" w:color="auto" w:sz="4" w:space="0"/>
              <w:right w:val="single" w:color="auto" w:sz="4" w:space="0"/>
            </w:tcBorders>
            <w:vAlign w:val="center"/>
          </w:tcPr>
          <w:p w14:paraId="131AEFF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企业标准化质量管理体系认证资质</w:t>
            </w:r>
          </w:p>
        </w:tc>
        <w:tc>
          <w:tcPr>
            <w:tcW w:w="709" w:type="dxa"/>
            <w:tcBorders>
              <w:top w:val="single" w:color="auto" w:sz="4" w:space="0"/>
              <w:left w:val="single" w:color="auto" w:sz="4" w:space="0"/>
              <w:bottom w:val="single" w:color="auto" w:sz="4" w:space="0"/>
              <w:right w:val="single" w:color="auto" w:sz="4" w:space="0"/>
            </w:tcBorders>
            <w:vAlign w:val="center"/>
          </w:tcPr>
          <w:p w14:paraId="52769F3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5099" w:type="dxa"/>
            <w:tcBorders>
              <w:top w:val="single" w:color="auto" w:sz="4" w:space="0"/>
              <w:left w:val="single" w:color="auto" w:sz="4" w:space="0"/>
              <w:bottom w:val="single" w:color="auto" w:sz="4" w:space="0"/>
              <w:right w:val="single" w:color="auto" w:sz="4" w:space="0"/>
            </w:tcBorders>
          </w:tcPr>
          <w:p w14:paraId="620A7965">
            <w:pPr>
              <w:widowControl/>
              <w:jc w:val="lef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评审标准：</w:t>
            </w:r>
            <w:r>
              <w:rPr>
                <w:rFonts w:hint="eastAsia" w:ascii="宋体" w:hAnsi="宋体" w:cs="宋体"/>
                <w:color w:val="000000"/>
                <w:kern w:val="0"/>
                <w:szCs w:val="21"/>
                <w:highlight w:val="none"/>
              </w:rPr>
              <w:t xml:space="preserve">提供企业标准化质量管理体系认证资质，提供一个得1分，满分3分。                                      </w:t>
            </w:r>
            <w:r>
              <w:rPr>
                <w:rFonts w:hint="eastAsia" w:ascii="宋体" w:hAnsi="宋体" w:cs="宋体"/>
                <w:b/>
                <w:bCs/>
                <w:color w:val="000000"/>
                <w:kern w:val="0"/>
                <w:szCs w:val="21"/>
                <w:highlight w:val="none"/>
              </w:rPr>
              <w:t>证明文件：</w:t>
            </w:r>
            <w:r>
              <w:rPr>
                <w:rFonts w:hint="eastAsia" w:ascii="宋体" w:hAnsi="宋体" w:cs="宋体"/>
                <w:color w:val="000000"/>
                <w:kern w:val="0"/>
                <w:szCs w:val="21"/>
                <w:highlight w:val="none"/>
              </w:rPr>
              <w:t xml:space="preserve">质量管理体系认证资格的第三方认证机构，依据正式发布的质量管理体系标准，按流程对企业的质量管理体系实施评定，评定合格并由第三方机构颁发的质量管理体系认证证书。未按要求提供相关资料或文件不清晰导致专家无法识别的不计得分。                          </w:t>
            </w:r>
          </w:p>
        </w:tc>
        <w:tc>
          <w:tcPr>
            <w:tcW w:w="1122" w:type="dxa"/>
            <w:tcBorders>
              <w:top w:val="single" w:color="auto" w:sz="4" w:space="0"/>
              <w:left w:val="single" w:color="auto" w:sz="4" w:space="0"/>
              <w:bottom w:val="single" w:color="auto" w:sz="4" w:space="0"/>
              <w:right w:val="single" w:color="auto" w:sz="4" w:space="0"/>
            </w:tcBorders>
          </w:tcPr>
          <w:p w14:paraId="348027B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60C8FC9D">
        <w:tblPrEx>
          <w:tblCellMar>
            <w:top w:w="0" w:type="dxa"/>
            <w:left w:w="108" w:type="dxa"/>
            <w:bottom w:w="0" w:type="dxa"/>
            <w:right w:w="108" w:type="dxa"/>
          </w:tblCellMar>
        </w:tblPrEx>
        <w:trPr>
          <w:trHeight w:val="296" w:hRule="atLeast"/>
          <w:jc w:val="center"/>
        </w:trPr>
        <w:tc>
          <w:tcPr>
            <w:tcW w:w="628" w:type="dxa"/>
            <w:vMerge w:val="restart"/>
            <w:tcBorders>
              <w:top w:val="single" w:color="auto" w:sz="4" w:space="0"/>
              <w:left w:val="single" w:color="auto" w:sz="4" w:space="0"/>
              <w:bottom w:val="single" w:color="000000" w:sz="4" w:space="0"/>
              <w:right w:val="single" w:color="auto" w:sz="4" w:space="0"/>
            </w:tcBorders>
            <w:vAlign w:val="center"/>
          </w:tcPr>
          <w:p w14:paraId="16223AFE">
            <w:pPr>
              <w:widowControl/>
              <w:jc w:val="center"/>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3</w:t>
            </w:r>
          </w:p>
        </w:tc>
        <w:tc>
          <w:tcPr>
            <w:tcW w:w="2676" w:type="dxa"/>
            <w:gridSpan w:val="3"/>
            <w:tcBorders>
              <w:top w:val="single" w:color="auto" w:sz="4" w:space="0"/>
              <w:left w:val="nil"/>
              <w:bottom w:val="single" w:color="auto" w:sz="4" w:space="0"/>
              <w:right w:val="single" w:color="auto" w:sz="4" w:space="0"/>
            </w:tcBorders>
          </w:tcPr>
          <w:p w14:paraId="72DD3F36">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技术部分</w:t>
            </w:r>
          </w:p>
        </w:tc>
        <w:tc>
          <w:tcPr>
            <w:tcW w:w="6221" w:type="dxa"/>
            <w:gridSpan w:val="2"/>
            <w:tcBorders>
              <w:top w:val="single" w:color="auto" w:sz="4" w:space="0"/>
              <w:left w:val="nil"/>
              <w:bottom w:val="single" w:color="auto" w:sz="4" w:space="0"/>
              <w:right w:val="single" w:color="auto" w:sz="4" w:space="0"/>
            </w:tcBorders>
          </w:tcPr>
          <w:p w14:paraId="2F03D3F0">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50</w:t>
            </w:r>
          </w:p>
        </w:tc>
      </w:tr>
      <w:tr w14:paraId="00940811">
        <w:tblPrEx>
          <w:tblCellMar>
            <w:top w:w="0" w:type="dxa"/>
            <w:left w:w="108" w:type="dxa"/>
            <w:bottom w:w="0" w:type="dxa"/>
            <w:right w:w="108" w:type="dxa"/>
          </w:tblCellMar>
        </w:tblPrEx>
        <w:trPr>
          <w:trHeight w:val="296" w:hRule="atLeast"/>
          <w:jc w:val="center"/>
        </w:trPr>
        <w:tc>
          <w:tcPr>
            <w:tcW w:w="628" w:type="dxa"/>
            <w:vMerge w:val="continue"/>
            <w:tcBorders>
              <w:top w:val="single" w:color="auto" w:sz="4" w:space="0"/>
              <w:left w:val="single" w:color="auto" w:sz="4" w:space="0"/>
              <w:bottom w:val="single" w:color="000000" w:sz="4" w:space="0"/>
              <w:right w:val="single" w:color="auto" w:sz="4" w:space="0"/>
            </w:tcBorders>
            <w:vAlign w:val="center"/>
          </w:tcPr>
          <w:p w14:paraId="3C862F1C">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shd w:val="clear" w:color="000000" w:fill="E6EFFA"/>
            <w:vAlign w:val="center"/>
          </w:tcPr>
          <w:p w14:paraId="2D87A6D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254" w:type="dxa"/>
            <w:tcBorders>
              <w:top w:val="single" w:color="auto" w:sz="4" w:space="0"/>
              <w:left w:val="single" w:color="auto" w:sz="4" w:space="0"/>
              <w:bottom w:val="single" w:color="auto" w:sz="4" w:space="0"/>
              <w:right w:val="single" w:color="auto" w:sz="4" w:space="0"/>
            </w:tcBorders>
            <w:shd w:val="clear" w:color="000000" w:fill="E6EFFA"/>
            <w:vAlign w:val="center"/>
          </w:tcPr>
          <w:p w14:paraId="5E8E239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评分因素</w:t>
            </w:r>
          </w:p>
        </w:tc>
        <w:tc>
          <w:tcPr>
            <w:tcW w:w="709" w:type="dxa"/>
            <w:tcBorders>
              <w:top w:val="single" w:color="auto" w:sz="4" w:space="0"/>
              <w:left w:val="single" w:color="auto" w:sz="4" w:space="0"/>
              <w:bottom w:val="single" w:color="auto" w:sz="4" w:space="0"/>
              <w:right w:val="single" w:color="auto" w:sz="4" w:space="0"/>
            </w:tcBorders>
            <w:shd w:val="clear" w:color="000000" w:fill="E6EFFA"/>
            <w:vAlign w:val="center"/>
          </w:tcPr>
          <w:p w14:paraId="7E8D22E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分值范围</w:t>
            </w:r>
          </w:p>
        </w:tc>
        <w:tc>
          <w:tcPr>
            <w:tcW w:w="5099" w:type="dxa"/>
            <w:tcBorders>
              <w:top w:val="single" w:color="auto" w:sz="4" w:space="0"/>
              <w:left w:val="single" w:color="auto" w:sz="4" w:space="0"/>
              <w:bottom w:val="single" w:color="auto" w:sz="4" w:space="0"/>
              <w:right w:val="single" w:color="auto" w:sz="4" w:space="0"/>
            </w:tcBorders>
            <w:shd w:val="clear" w:color="000000" w:fill="E6EFFA"/>
            <w:vAlign w:val="center"/>
          </w:tcPr>
          <w:p w14:paraId="2B92D68C">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评分准则</w:t>
            </w:r>
          </w:p>
        </w:tc>
        <w:tc>
          <w:tcPr>
            <w:tcW w:w="1122" w:type="dxa"/>
            <w:tcBorders>
              <w:top w:val="single" w:color="auto" w:sz="4" w:space="0"/>
              <w:left w:val="single" w:color="auto" w:sz="4" w:space="0"/>
              <w:bottom w:val="single" w:color="auto" w:sz="4" w:space="0"/>
              <w:right w:val="single" w:color="auto" w:sz="4" w:space="0"/>
            </w:tcBorders>
            <w:shd w:val="clear" w:color="000000" w:fill="E6EFFA"/>
            <w:vAlign w:val="center"/>
          </w:tcPr>
          <w:p w14:paraId="1ACE846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0F851544">
        <w:tblPrEx>
          <w:tblCellMar>
            <w:top w:w="0" w:type="dxa"/>
            <w:left w:w="108" w:type="dxa"/>
            <w:bottom w:w="0" w:type="dxa"/>
            <w:right w:w="108" w:type="dxa"/>
          </w:tblCellMar>
        </w:tblPrEx>
        <w:trPr>
          <w:trHeight w:val="90" w:hRule="atLeast"/>
          <w:jc w:val="center"/>
        </w:trPr>
        <w:tc>
          <w:tcPr>
            <w:tcW w:w="628" w:type="dxa"/>
            <w:vMerge w:val="continue"/>
            <w:tcBorders>
              <w:top w:val="single" w:color="auto" w:sz="4" w:space="0"/>
              <w:left w:val="single" w:color="auto" w:sz="4" w:space="0"/>
              <w:bottom w:val="single" w:color="000000" w:sz="4" w:space="0"/>
              <w:right w:val="single" w:color="auto" w:sz="4" w:space="0"/>
            </w:tcBorders>
            <w:vAlign w:val="center"/>
          </w:tcPr>
          <w:p w14:paraId="4324FFD3">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A261392">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1</w:t>
            </w:r>
          </w:p>
        </w:tc>
        <w:tc>
          <w:tcPr>
            <w:tcW w:w="1254" w:type="dxa"/>
            <w:tcBorders>
              <w:top w:val="single" w:color="auto" w:sz="4" w:space="0"/>
              <w:left w:val="single" w:color="auto" w:sz="4" w:space="0"/>
              <w:bottom w:val="single" w:color="auto" w:sz="4" w:space="0"/>
              <w:right w:val="single" w:color="auto" w:sz="4" w:space="0"/>
            </w:tcBorders>
            <w:vAlign w:val="center"/>
          </w:tcPr>
          <w:p w14:paraId="7760931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比选需求响应评价</w:t>
            </w:r>
          </w:p>
        </w:tc>
        <w:tc>
          <w:tcPr>
            <w:tcW w:w="709" w:type="dxa"/>
            <w:tcBorders>
              <w:top w:val="single" w:color="auto" w:sz="4" w:space="0"/>
              <w:left w:val="single" w:color="auto" w:sz="4" w:space="0"/>
              <w:bottom w:val="single" w:color="auto" w:sz="4" w:space="0"/>
              <w:right w:val="single" w:color="auto" w:sz="4" w:space="0"/>
            </w:tcBorders>
            <w:vAlign w:val="center"/>
          </w:tcPr>
          <w:p w14:paraId="2EC5A10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25</w:t>
            </w:r>
          </w:p>
        </w:tc>
        <w:tc>
          <w:tcPr>
            <w:tcW w:w="5099" w:type="dxa"/>
            <w:tcBorders>
              <w:top w:val="single" w:color="auto" w:sz="4" w:space="0"/>
              <w:left w:val="single" w:color="auto" w:sz="4" w:space="0"/>
              <w:bottom w:val="single" w:color="auto" w:sz="4" w:space="0"/>
              <w:right w:val="single" w:color="auto" w:sz="4" w:space="0"/>
            </w:tcBorders>
            <w:vAlign w:val="center"/>
          </w:tcPr>
          <w:p w14:paraId="76A25708">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评审标准：</w:t>
            </w:r>
            <w:r>
              <w:rPr>
                <w:rFonts w:hint="eastAsia" w:ascii="宋体" w:hAnsi="宋体" w:cs="宋体"/>
                <w:kern w:val="0"/>
                <w:szCs w:val="21"/>
                <w:highlight w:val="none"/>
              </w:rPr>
              <w:t>根据比选人针对比选需求对所提供的项目服务方案完整性及响应情况进行横向比较打分，优得20-25分，良得11-19分，中得5-10分，差得1-4分。</w:t>
            </w:r>
          </w:p>
        </w:tc>
        <w:tc>
          <w:tcPr>
            <w:tcW w:w="1122" w:type="dxa"/>
            <w:tcBorders>
              <w:top w:val="single" w:color="auto" w:sz="4" w:space="0"/>
              <w:left w:val="single" w:color="auto" w:sz="4" w:space="0"/>
              <w:bottom w:val="single" w:color="auto" w:sz="4" w:space="0"/>
              <w:right w:val="single" w:color="auto" w:sz="4" w:space="0"/>
            </w:tcBorders>
          </w:tcPr>
          <w:p w14:paraId="1A2DD6D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14:paraId="303F1B7D">
        <w:tblPrEx>
          <w:tblCellMar>
            <w:top w:w="0" w:type="dxa"/>
            <w:left w:w="108" w:type="dxa"/>
            <w:bottom w:w="0" w:type="dxa"/>
            <w:right w:w="108" w:type="dxa"/>
          </w:tblCellMar>
        </w:tblPrEx>
        <w:trPr>
          <w:trHeight w:val="1818" w:hRule="atLeast"/>
          <w:jc w:val="center"/>
        </w:trPr>
        <w:tc>
          <w:tcPr>
            <w:tcW w:w="628" w:type="dxa"/>
            <w:vMerge w:val="continue"/>
            <w:tcBorders>
              <w:top w:val="single" w:color="auto" w:sz="4" w:space="0"/>
              <w:left w:val="single" w:color="auto" w:sz="4" w:space="0"/>
              <w:bottom w:val="single" w:color="000000" w:sz="4" w:space="0"/>
              <w:right w:val="single" w:color="auto" w:sz="4" w:space="0"/>
            </w:tcBorders>
            <w:vAlign w:val="center"/>
          </w:tcPr>
          <w:p w14:paraId="244502D6">
            <w:pPr>
              <w:widowControl/>
              <w:jc w:val="left"/>
              <w:rPr>
                <w:rFonts w:hint="eastAsia" w:ascii="宋体" w:hAnsi="宋体" w:cs="宋体"/>
                <w:b/>
                <w:bCs/>
                <w:color w:val="0000FF"/>
                <w:kern w:val="0"/>
                <w:szCs w:val="21"/>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05289A1">
            <w:pPr>
              <w:widowControl/>
              <w:jc w:val="center"/>
              <w:rPr>
                <w:rFonts w:ascii="Calibri" w:hAnsi="Calibri" w:cs="Calibri"/>
                <w:color w:val="000000"/>
                <w:kern w:val="0"/>
                <w:szCs w:val="21"/>
                <w:highlight w:val="none"/>
              </w:rPr>
            </w:pPr>
            <w:r>
              <w:rPr>
                <w:rFonts w:ascii="Calibri" w:hAnsi="Calibri" w:cs="Calibri"/>
                <w:color w:val="000000"/>
                <w:kern w:val="0"/>
                <w:szCs w:val="21"/>
                <w:highlight w:val="none"/>
              </w:rPr>
              <w:t>2</w:t>
            </w:r>
          </w:p>
        </w:tc>
        <w:tc>
          <w:tcPr>
            <w:tcW w:w="1254" w:type="dxa"/>
            <w:tcBorders>
              <w:top w:val="single" w:color="auto" w:sz="4" w:space="0"/>
              <w:left w:val="single" w:color="auto" w:sz="4" w:space="0"/>
              <w:bottom w:val="single" w:color="auto" w:sz="4" w:space="0"/>
              <w:right w:val="single" w:color="auto" w:sz="4" w:space="0"/>
            </w:tcBorders>
            <w:vAlign w:val="center"/>
          </w:tcPr>
          <w:p w14:paraId="3BCAD23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服务方案内容</w:t>
            </w:r>
          </w:p>
        </w:tc>
        <w:tc>
          <w:tcPr>
            <w:tcW w:w="709" w:type="dxa"/>
            <w:tcBorders>
              <w:top w:val="single" w:color="auto" w:sz="4" w:space="0"/>
              <w:left w:val="single" w:color="auto" w:sz="4" w:space="0"/>
              <w:bottom w:val="single" w:color="auto" w:sz="4" w:space="0"/>
              <w:right w:val="single" w:color="auto" w:sz="4" w:space="0"/>
            </w:tcBorders>
            <w:vAlign w:val="center"/>
          </w:tcPr>
          <w:p w14:paraId="3556F42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25</w:t>
            </w:r>
          </w:p>
        </w:tc>
        <w:tc>
          <w:tcPr>
            <w:tcW w:w="5099" w:type="dxa"/>
            <w:tcBorders>
              <w:top w:val="single" w:color="auto" w:sz="4" w:space="0"/>
              <w:left w:val="single" w:color="auto" w:sz="4" w:space="0"/>
              <w:bottom w:val="single" w:color="auto" w:sz="4" w:space="0"/>
              <w:right w:val="single" w:color="auto" w:sz="4" w:space="0"/>
            </w:tcBorders>
            <w:vAlign w:val="center"/>
          </w:tcPr>
          <w:p w14:paraId="4BB0FA35">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评审标准：</w:t>
            </w:r>
            <w:r>
              <w:rPr>
                <w:rFonts w:hint="eastAsia" w:ascii="宋体" w:hAnsi="宋体" w:cs="宋体"/>
                <w:kern w:val="0"/>
                <w:szCs w:val="21"/>
                <w:highlight w:val="none"/>
              </w:rPr>
              <w:t>根据比选人针对比选需求所提供的项目服务方案，是否切实结合项目背景、内容，考虑场地、预算等实际情况，拟定细化的项目活动内容策划、设计制作物料等具体运营服务方案，进行横向比较打分：优得20-25分，良得11-19分，中得5-10分，差得1-4分。</w:t>
            </w:r>
          </w:p>
        </w:tc>
        <w:tc>
          <w:tcPr>
            <w:tcW w:w="1122" w:type="dxa"/>
            <w:tcBorders>
              <w:top w:val="single" w:color="auto" w:sz="4" w:space="0"/>
              <w:left w:val="single" w:color="auto" w:sz="4" w:space="0"/>
              <w:bottom w:val="single" w:color="auto" w:sz="4" w:space="0"/>
              <w:right w:val="single" w:color="auto" w:sz="4" w:space="0"/>
            </w:tcBorders>
          </w:tcPr>
          <w:p w14:paraId="7C63039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bl>
    <w:p w14:paraId="1EE48A48">
      <w:pPr>
        <w:adjustRightInd w:val="0"/>
        <w:snapToGrid w:val="0"/>
        <w:spacing w:before="156" w:beforeLines="50" w:after="156" w:afterLines="50"/>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比选文件的构成及递交</w:t>
      </w:r>
    </w:p>
    <w:p w14:paraId="1080C5C6">
      <w:pPr>
        <w:adjustRightInd w:val="0"/>
        <w:snapToGrid w:val="0"/>
        <w:rPr>
          <w:rFonts w:ascii="仿宋_GB2312" w:eastAsia="仿宋_GB2312"/>
          <w:sz w:val="32"/>
          <w:szCs w:val="32"/>
          <w:highlight w:val="none"/>
        </w:rPr>
      </w:pPr>
      <w:r>
        <w:rPr>
          <w:rFonts w:hint="eastAsia" w:ascii="仿宋_GB2312" w:eastAsia="仿宋_GB2312"/>
          <w:b/>
          <w:sz w:val="32"/>
          <w:szCs w:val="32"/>
          <w:highlight w:val="none"/>
        </w:rPr>
        <w:t>一、比选文件的构成</w:t>
      </w:r>
    </w:p>
    <w:p w14:paraId="6533F02F">
      <w:pPr>
        <w:spacing w:line="560" w:lineRule="exact"/>
        <w:ind w:firstLine="640" w:firstLineChars="200"/>
        <w:rPr>
          <w:rFonts w:ascii="仿宋_GB2312" w:eastAsia="仿宋_GB2312"/>
          <w:color w:val="000000"/>
          <w:sz w:val="32"/>
          <w:szCs w:val="32"/>
          <w:highlight w:val="none"/>
        </w:rPr>
      </w:pPr>
      <w:r>
        <w:rPr>
          <w:rFonts w:hint="eastAsia" w:ascii="仿宋_GB2312" w:eastAsia="仿宋_GB2312"/>
          <w:sz w:val="32"/>
          <w:szCs w:val="32"/>
          <w:highlight w:val="none"/>
        </w:rPr>
        <w:t>（一）</w:t>
      </w:r>
      <w:r>
        <w:rPr>
          <w:rFonts w:hint="eastAsia" w:ascii="仿宋_GB2312" w:eastAsia="仿宋_GB2312"/>
          <w:color w:val="000000"/>
          <w:sz w:val="32"/>
          <w:szCs w:val="32"/>
          <w:highlight w:val="none"/>
        </w:rPr>
        <w:t>技术部分</w:t>
      </w:r>
    </w:p>
    <w:p w14:paraId="3F7C72BB">
      <w:pPr>
        <w:spacing w:line="560" w:lineRule="exact"/>
        <w:rPr>
          <w:rFonts w:ascii="仿宋_GB2312" w:eastAsia="仿宋_GB2312"/>
          <w:color w:val="000000"/>
          <w:sz w:val="32"/>
          <w:szCs w:val="32"/>
          <w:highlight w:val="none"/>
        </w:rPr>
      </w:pPr>
      <w:r>
        <w:rPr>
          <w:rFonts w:hint="eastAsia" w:ascii="仿宋_GB2312" w:eastAsia="仿宋_GB2312"/>
          <w:sz w:val="32"/>
          <w:szCs w:val="32"/>
          <w:highlight w:val="none"/>
        </w:rPr>
        <w:t>（参考项目评分表及比选需求内容，格式自拟）</w:t>
      </w:r>
    </w:p>
    <w:p w14:paraId="34B7BADC">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包括但不限于以下内容：</w:t>
      </w:r>
    </w:p>
    <w:p w14:paraId="4925A06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1、提供整体活动设想、创意规划等；</w:t>
      </w:r>
    </w:p>
    <w:p w14:paraId="13D0418E">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2、提供活动主KV设计、活动内容策划、执行计划等。</w:t>
      </w:r>
    </w:p>
    <w:p w14:paraId="10D86B6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（二）商务部分主要包括</w:t>
      </w:r>
      <w:r>
        <w:rPr>
          <w:rFonts w:hint="eastAsia" w:ascii="仿宋_GB2312" w:eastAsia="仿宋_GB2312"/>
          <w:color w:val="000000"/>
          <w:sz w:val="32"/>
          <w:szCs w:val="32"/>
          <w:highlight w:val="none"/>
        </w:rPr>
        <w:t>但不限于</w:t>
      </w:r>
      <w:r>
        <w:rPr>
          <w:rFonts w:hint="eastAsia" w:ascii="仿宋_GB2312" w:eastAsia="仿宋_GB2312"/>
          <w:sz w:val="32"/>
          <w:szCs w:val="32"/>
          <w:highlight w:val="none"/>
        </w:rPr>
        <w:t>以下内容：</w:t>
      </w:r>
    </w:p>
    <w:p w14:paraId="2854262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1、单位营业执照副本复印件（加盖公章）；</w:t>
      </w:r>
    </w:p>
    <w:p w14:paraId="5418B47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2、比选人情况介绍（含资质、荣誉等）；</w:t>
      </w:r>
    </w:p>
    <w:p w14:paraId="5B94B18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3、比选人经验、项目案例；</w:t>
      </w:r>
    </w:p>
    <w:p w14:paraId="62BC84C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4、详细清单报价；</w:t>
      </w:r>
    </w:p>
    <w:p w14:paraId="476EA180">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5、比选一览表。</w:t>
      </w:r>
    </w:p>
    <w:p w14:paraId="5F82BC3A">
      <w:pPr>
        <w:spacing w:line="560" w:lineRule="exact"/>
        <w:rPr>
          <w:rFonts w:ascii="仿宋_GB2312" w:eastAsia="仿宋_GB2312"/>
          <w:sz w:val="32"/>
          <w:szCs w:val="32"/>
          <w:highlight w:val="none"/>
        </w:rPr>
      </w:pPr>
      <w:r>
        <w:rPr>
          <w:rFonts w:hint="eastAsia" w:ascii="仿宋_GB2312" w:eastAsia="仿宋_GB2312"/>
          <w:b/>
          <w:sz w:val="32"/>
          <w:szCs w:val="32"/>
          <w:highlight w:val="none"/>
        </w:rPr>
        <w:t>二、比选文件的递交</w:t>
      </w:r>
    </w:p>
    <w:p w14:paraId="30E7A7B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（一）比选文件要求：</w:t>
      </w:r>
    </w:p>
    <w:p w14:paraId="2920A9C6">
      <w:pPr>
        <w:spacing w:line="560" w:lineRule="exact"/>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比选人应准备“比选文件”一式三份（一正二副）及</w:t>
      </w:r>
      <w:r>
        <w:rPr>
          <w:rFonts w:hint="eastAsia" w:eastAsia="仿宋_GB2312"/>
          <w:sz w:val="32"/>
          <w:szCs w:val="32"/>
          <w:highlight w:val="none"/>
        </w:rPr>
        <w:t>正本扫描电子文件一份（U盘）</w:t>
      </w:r>
      <w:r>
        <w:rPr>
          <w:rFonts w:hint="eastAsia" w:ascii="仿宋_GB2312" w:eastAsia="仿宋_GB2312"/>
          <w:sz w:val="32"/>
          <w:szCs w:val="32"/>
          <w:highlight w:val="none"/>
        </w:rPr>
        <w:t>，一起装在信封内密封，封口处需加盖比选单位公章，并在信封封面注明比选项目及单位。</w:t>
      </w:r>
    </w:p>
    <w:p w14:paraId="14F0CEBE">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（二）比选截止期：</w:t>
      </w:r>
    </w:p>
    <w:p w14:paraId="56F16B7E">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比选单位比选文件的递交时间不得迟于比选截止时间2025年11月</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日10:00（北京时间）之前递交，逾期送达的文件将不予受理。</w:t>
      </w:r>
    </w:p>
    <w:p w14:paraId="37192938">
      <w:pPr>
        <w:numPr>
          <w:ilvl w:val="0"/>
          <w:numId w:val="5"/>
        </w:numPr>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递交文件地点：</w:t>
      </w:r>
    </w:p>
    <w:p w14:paraId="78788BD9">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广州市越秀区钱路头直街 2 号大院 6 楼。</w:t>
      </w:r>
    </w:p>
    <w:p w14:paraId="03BC2B2A">
      <w:pPr>
        <w:spacing w:line="560" w:lineRule="exact"/>
        <w:rPr>
          <w:rFonts w:ascii="仿宋_GB2312" w:eastAsia="仿宋_GB2312"/>
          <w:color w:val="000000"/>
          <w:sz w:val="32"/>
          <w:szCs w:val="32"/>
          <w:highlight w:val="none"/>
        </w:rPr>
      </w:pPr>
    </w:p>
    <w:p w14:paraId="1D0DBA32">
      <w:pPr>
        <w:rPr>
          <w:rFonts w:ascii="黑体" w:eastAsia="黑体"/>
          <w:sz w:val="36"/>
          <w:szCs w:val="36"/>
          <w:highlight w:val="none"/>
        </w:rPr>
      </w:pPr>
    </w:p>
    <w:p w14:paraId="669AA7F7">
      <w:pPr>
        <w:rPr>
          <w:rFonts w:ascii="黑体" w:eastAsia="黑体"/>
          <w:sz w:val="36"/>
          <w:szCs w:val="36"/>
          <w:highlight w:val="none"/>
        </w:rPr>
      </w:pPr>
      <w:r>
        <w:rPr>
          <w:rFonts w:hint="eastAsia" w:ascii="黑体" w:eastAsia="黑体"/>
          <w:sz w:val="36"/>
          <w:szCs w:val="36"/>
          <w:highlight w:val="none"/>
        </w:rPr>
        <w:br w:type="page"/>
      </w:r>
    </w:p>
    <w:p w14:paraId="25B5350D">
      <w:pPr>
        <w:spacing w:line="560" w:lineRule="exact"/>
        <w:jc w:val="center"/>
        <w:rPr>
          <w:rFonts w:ascii="黑体" w:eastAsia="黑体"/>
          <w:sz w:val="36"/>
          <w:szCs w:val="36"/>
          <w:highlight w:val="none"/>
        </w:rPr>
      </w:pPr>
      <w:r>
        <w:rPr>
          <w:rFonts w:hint="eastAsia" w:ascii="黑体" w:eastAsia="黑体"/>
          <w:sz w:val="36"/>
          <w:szCs w:val="36"/>
          <w:highlight w:val="none"/>
        </w:rPr>
        <w:t>第三章   附件</w:t>
      </w:r>
    </w:p>
    <w:p w14:paraId="47FAB03A">
      <w:pPr>
        <w:spacing w:line="560" w:lineRule="exact"/>
        <w:jc w:val="center"/>
        <w:rPr>
          <w:rFonts w:ascii="黑体" w:eastAsia="黑体"/>
          <w:sz w:val="36"/>
          <w:szCs w:val="36"/>
          <w:highlight w:val="none"/>
        </w:rPr>
      </w:pPr>
    </w:p>
    <w:p w14:paraId="5987AF07">
      <w:pPr>
        <w:ind w:firstLine="3360" w:firstLineChars="1050"/>
        <w:rPr>
          <w:rFonts w:ascii="仿宋_GB2312" w:eastAsia="仿宋_GB2312"/>
          <w:sz w:val="32"/>
          <w:szCs w:val="32"/>
          <w:highlight w:val="none"/>
        </w:rPr>
      </w:pPr>
      <w:r>
        <w:rPr>
          <w:rFonts w:hint="eastAsia" w:ascii="仿宋_GB2312" w:eastAsia="仿宋_GB2312"/>
          <w:sz w:val="32"/>
          <w:szCs w:val="32"/>
          <w:highlight w:val="none"/>
        </w:rPr>
        <w:t>比选一览表</w:t>
      </w:r>
    </w:p>
    <w:p w14:paraId="4F10BADD">
      <w:pPr>
        <w:ind w:firstLine="640" w:firstLineChars="200"/>
        <w:rPr>
          <w:rFonts w:ascii="仿宋_GB2312" w:eastAsia="仿宋_GB2312"/>
          <w:sz w:val="32"/>
          <w:szCs w:val="32"/>
          <w:highlight w:val="none"/>
        </w:rPr>
      </w:pPr>
      <w:r>
        <w:rPr>
          <w:rFonts w:hint="eastAsia" w:ascii="仿宋_GB2312" w:eastAsia="仿宋_GB2312"/>
          <w:sz w:val="32"/>
          <w:szCs w:val="32"/>
          <w:highlight w:val="none"/>
        </w:rPr>
        <w:t>项目编号：</w:t>
      </w:r>
    </w:p>
    <w:p w14:paraId="47398D9F">
      <w:pPr>
        <w:ind w:firstLine="640" w:firstLineChars="200"/>
        <w:rPr>
          <w:rFonts w:ascii="仿宋_GB2312" w:eastAsia="仿宋_GB2312"/>
          <w:sz w:val="32"/>
          <w:szCs w:val="32"/>
          <w:highlight w:val="none"/>
        </w:rPr>
      </w:pPr>
      <w:r>
        <w:rPr>
          <w:rFonts w:hint="eastAsia" w:ascii="仿宋_GB2312" w:eastAsia="仿宋_GB2312"/>
          <w:sz w:val="32"/>
          <w:szCs w:val="32"/>
          <w:highlight w:val="none"/>
        </w:rPr>
        <w:t>项目名称：</w:t>
      </w:r>
    </w:p>
    <w:p w14:paraId="6E3F14A4">
      <w:pPr>
        <w:spacing w:after="312" w:afterLines="100"/>
        <w:ind w:firstLine="640" w:firstLineChars="200"/>
        <w:rPr>
          <w:rFonts w:ascii="仿宋_GB2312" w:eastAsia="仿宋_GB2312"/>
          <w:sz w:val="32"/>
          <w:szCs w:val="32"/>
          <w:highlight w:val="none"/>
        </w:rPr>
      </w:pPr>
      <w:r>
        <w:rPr>
          <w:rFonts w:hint="eastAsia" w:ascii="仿宋_GB2312" w:eastAsia="仿宋_GB2312"/>
          <w:sz w:val="32"/>
          <w:szCs w:val="32"/>
          <w:highlight w:val="none"/>
        </w:rPr>
        <w:t>比选单位：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DCE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69A3BD9">
            <w:pPr>
              <w:spacing w:line="560" w:lineRule="exact"/>
              <w:jc w:val="center"/>
              <w:rPr>
                <w:rFonts w:ascii="仿宋_GB2312" w:eastAsia="仿宋_GB2312"/>
                <w:sz w:val="32"/>
                <w:szCs w:val="32"/>
                <w:highlight w:val="none"/>
              </w:rPr>
            </w:pPr>
            <w:r>
              <w:rPr>
                <w:rFonts w:hint="eastAsia" w:ascii="仿宋_GB2312" w:eastAsia="仿宋_GB2312"/>
                <w:snapToGrid w:val="0"/>
                <w:kern w:val="0"/>
                <w:sz w:val="32"/>
                <w:szCs w:val="32"/>
                <w:highlight w:val="none"/>
              </w:rPr>
              <w:t>序号</w:t>
            </w:r>
          </w:p>
        </w:tc>
        <w:tc>
          <w:tcPr>
            <w:tcW w:w="2841" w:type="dxa"/>
            <w:vAlign w:val="center"/>
          </w:tcPr>
          <w:p w14:paraId="34721B01">
            <w:pPr>
              <w:spacing w:line="560" w:lineRule="exact"/>
              <w:jc w:val="center"/>
              <w:rPr>
                <w:rFonts w:ascii="仿宋_GB2312" w:eastAsia="仿宋_GB2312"/>
                <w:sz w:val="32"/>
                <w:szCs w:val="32"/>
                <w:highlight w:val="none"/>
              </w:rPr>
            </w:pPr>
            <w:r>
              <w:rPr>
                <w:rFonts w:hint="eastAsia" w:ascii="仿宋_GB2312" w:eastAsia="仿宋_GB2312"/>
                <w:snapToGrid w:val="0"/>
                <w:kern w:val="0"/>
                <w:sz w:val="32"/>
                <w:szCs w:val="32"/>
                <w:highlight w:val="none"/>
              </w:rPr>
              <w:t>比选总价</w:t>
            </w:r>
          </w:p>
        </w:tc>
        <w:tc>
          <w:tcPr>
            <w:tcW w:w="2841" w:type="dxa"/>
            <w:vAlign w:val="center"/>
          </w:tcPr>
          <w:p w14:paraId="34DB16DD">
            <w:pPr>
              <w:spacing w:line="560" w:lineRule="exact"/>
              <w:jc w:val="center"/>
              <w:rPr>
                <w:rFonts w:ascii="仿宋_GB2312" w:eastAsia="仿宋_GB2312"/>
                <w:sz w:val="32"/>
                <w:szCs w:val="32"/>
                <w:highlight w:val="none"/>
              </w:rPr>
            </w:pPr>
            <w:r>
              <w:rPr>
                <w:rFonts w:hint="eastAsia" w:ascii="仿宋_GB2312" w:eastAsia="仿宋_GB2312"/>
                <w:snapToGrid w:val="0"/>
                <w:kern w:val="0"/>
                <w:sz w:val="32"/>
                <w:szCs w:val="32"/>
                <w:highlight w:val="none"/>
              </w:rPr>
              <w:t>备注</w:t>
            </w:r>
          </w:p>
        </w:tc>
      </w:tr>
      <w:tr w14:paraId="139A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840" w:type="dxa"/>
            <w:vAlign w:val="center"/>
          </w:tcPr>
          <w:p w14:paraId="6B809B2C">
            <w:pPr>
              <w:spacing w:line="560" w:lineRule="exact"/>
              <w:jc w:val="center"/>
              <w:rPr>
                <w:rFonts w:ascii="仿宋_GB2312" w:eastAsia="仿宋_GB2312"/>
                <w:sz w:val="32"/>
                <w:szCs w:val="32"/>
                <w:highlight w:val="none"/>
              </w:rPr>
            </w:pPr>
          </w:p>
        </w:tc>
        <w:tc>
          <w:tcPr>
            <w:tcW w:w="2841" w:type="dxa"/>
            <w:vAlign w:val="center"/>
          </w:tcPr>
          <w:p w14:paraId="00BE21F4">
            <w:pPr>
              <w:spacing w:line="560" w:lineRule="exact"/>
              <w:jc w:val="center"/>
              <w:rPr>
                <w:rFonts w:ascii="仿宋_GB2312" w:eastAsia="仿宋_GB2312"/>
                <w:sz w:val="32"/>
                <w:szCs w:val="32"/>
                <w:highlight w:val="none"/>
              </w:rPr>
            </w:pPr>
          </w:p>
        </w:tc>
        <w:tc>
          <w:tcPr>
            <w:tcW w:w="2841" w:type="dxa"/>
            <w:vAlign w:val="center"/>
          </w:tcPr>
          <w:p w14:paraId="241FE82C">
            <w:pPr>
              <w:spacing w:line="560" w:lineRule="exact"/>
              <w:jc w:val="center"/>
              <w:rPr>
                <w:rFonts w:ascii="仿宋_GB2312" w:eastAsia="仿宋_GB2312"/>
                <w:sz w:val="32"/>
                <w:szCs w:val="32"/>
                <w:highlight w:val="none"/>
              </w:rPr>
            </w:pPr>
          </w:p>
        </w:tc>
      </w:tr>
    </w:tbl>
    <w:p w14:paraId="0EA4415A">
      <w:pPr>
        <w:spacing w:line="560" w:lineRule="exact"/>
        <w:ind w:firstLine="640" w:firstLineChars="200"/>
        <w:rPr>
          <w:rFonts w:ascii="仿宋_GB2312" w:eastAsia="仿宋_GB2312"/>
          <w:sz w:val="32"/>
          <w:szCs w:val="32"/>
          <w:highlight w:val="none"/>
        </w:rPr>
      </w:pPr>
    </w:p>
    <w:p w14:paraId="35F8572A">
      <w:pPr>
        <w:spacing w:line="560" w:lineRule="exact"/>
        <w:ind w:firstLine="640" w:firstLineChars="200"/>
        <w:rPr>
          <w:rFonts w:ascii="仿宋_GB2312" w:eastAsia="仿宋_GB2312"/>
          <w:sz w:val="32"/>
          <w:szCs w:val="32"/>
          <w:highlight w:val="none"/>
        </w:rPr>
      </w:pPr>
    </w:p>
    <w:p w14:paraId="732C72CA">
      <w:pPr>
        <w:ind w:firstLine="640" w:firstLineChars="200"/>
        <w:rPr>
          <w:rFonts w:ascii="仿宋_GB2312" w:eastAsia="仿宋_GB2312"/>
          <w:sz w:val="32"/>
          <w:szCs w:val="32"/>
          <w:highlight w:val="none"/>
        </w:rPr>
      </w:pPr>
      <w:r>
        <w:rPr>
          <w:rFonts w:hint="eastAsia" w:ascii="仿宋_GB2312" w:eastAsia="仿宋_GB2312"/>
          <w:sz w:val="32"/>
          <w:szCs w:val="32"/>
          <w:highlight w:val="none"/>
        </w:rPr>
        <w:t>比选人代表签字：</w:t>
      </w:r>
    </w:p>
    <w:p w14:paraId="47E67890">
      <w:pPr>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单位盖章：</w:t>
      </w:r>
    </w:p>
    <w:p w14:paraId="7FE9EF93">
      <w:pPr>
        <w:ind w:firstLine="640" w:firstLineChars="200"/>
        <w:rPr>
          <w:rFonts w:ascii="仿宋_GB2312" w:eastAsia="仿宋_GB2312"/>
          <w:sz w:val="32"/>
          <w:szCs w:val="32"/>
          <w:highlight w:val="none"/>
          <w:u w:val="single"/>
        </w:rPr>
      </w:pPr>
    </w:p>
    <w:p w14:paraId="4D6E5C59">
      <w:pPr>
        <w:ind w:firstLine="640" w:firstLineChars="200"/>
        <w:rPr>
          <w:rFonts w:ascii="仿宋_GB2312" w:eastAsia="仿宋_GB2312"/>
          <w:sz w:val="32"/>
          <w:szCs w:val="32"/>
          <w:highlight w:val="none"/>
          <w:u w:val="single"/>
        </w:rPr>
      </w:pPr>
    </w:p>
    <w:p w14:paraId="1CFEF727">
      <w:pPr>
        <w:ind w:firstLine="640" w:firstLineChars="200"/>
        <w:rPr>
          <w:rFonts w:ascii="仿宋_GB2312" w:eastAsia="仿宋_GB2312"/>
          <w:sz w:val="32"/>
          <w:szCs w:val="32"/>
          <w:highlight w:val="none"/>
        </w:rPr>
      </w:pPr>
      <w:r>
        <w:rPr>
          <w:rFonts w:hint="eastAsia" w:ascii="仿宋_GB2312" w:eastAsia="仿宋_GB2312"/>
          <w:sz w:val="32"/>
          <w:szCs w:val="32"/>
          <w:highlight w:val="none"/>
        </w:rPr>
        <w:t>比选人联系电话：</w:t>
      </w:r>
    </w:p>
    <w:p w14:paraId="09E874D9">
      <w:pPr>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日  期：</w:t>
      </w:r>
    </w:p>
    <w:p w14:paraId="71FC1F10">
      <w:pPr>
        <w:rPr>
          <w:highlight w:val="none"/>
        </w:rPr>
      </w:pPr>
    </w:p>
    <w:p w14:paraId="25339F45">
      <w:pPr>
        <w:rPr>
          <w:highlight w:val="none"/>
        </w:rPr>
      </w:pPr>
    </w:p>
    <w:sectPr>
      <w:footerReference r:id="rId5" w:type="firs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770B">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B22B2B">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6BB22B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15D2">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F9E1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kaI8QBAACQ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NkaI8QBAACQAwAADgAAAAAAAAABACAAAAAeAQAAZHJzL2Uyb0RvYy54bWxQ&#10;SwUGAAAAAAYABgBZAQAAVAUAAAAA&#10;">
              <v:fill on="f" focussize="0,0"/>
              <v:stroke on="f"/>
              <v:imagedata o:title=""/>
              <o:lock v:ext="edit" aspectratio="f"/>
              <v:textbox inset="0mm,0mm,0mm,0mm" style="mso-fit-shape-to-text:t;">
                <w:txbxContent>
                  <w:p w14:paraId="5CCF9E1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D1DF">
    <w:pPr>
      <w:pStyle w:val="7"/>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B92E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Br3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mBr38QBAACQAwAADgAAAAAAAAABACAAAAAeAQAAZHJzL2Uyb0RvYy54bWxQ&#10;SwUGAAAAAAYABgBZAQAAVAUAAAAA&#10;">
              <v:fill on="f" focussize="0,0"/>
              <v:stroke on="f"/>
              <v:imagedata o:title=""/>
              <o:lock v:ext="edit" aspectratio="f"/>
              <v:textbox inset="0mm,0mm,0mm,0mm" style="mso-fit-shape-to-text:t;">
                <w:txbxContent>
                  <w:p w14:paraId="140B92E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9FC41"/>
    <w:multiLevelType w:val="singleLevel"/>
    <w:tmpl w:val="9919FC41"/>
    <w:lvl w:ilvl="0" w:tentative="0">
      <w:start w:val="1"/>
      <w:numFmt w:val="decimal"/>
      <w:suff w:val="nothing"/>
      <w:lvlText w:val="%1、"/>
      <w:lvlJc w:val="left"/>
    </w:lvl>
  </w:abstractNum>
  <w:abstractNum w:abstractNumId="1">
    <w:nsid w:val="C26F50AA"/>
    <w:multiLevelType w:val="singleLevel"/>
    <w:tmpl w:val="C26F50AA"/>
    <w:lvl w:ilvl="0" w:tentative="0">
      <w:start w:val="1"/>
      <w:numFmt w:val="chineseCounting"/>
      <w:suff w:val="nothing"/>
      <w:lvlText w:val="（%1）"/>
      <w:lvlJc w:val="left"/>
      <w:pPr>
        <w:ind w:left="0" w:firstLine="420"/>
      </w:pPr>
      <w:rPr>
        <w:rFonts w:hint="eastAsia"/>
      </w:rPr>
    </w:lvl>
  </w:abstractNum>
  <w:abstractNum w:abstractNumId="2">
    <w:nsid w:val="F2FA1F4B"/>
    <w:multiLevelType w:val="singleLevel"/>
    <w:tmpl w:val="F2FA1F4B"/>
    <w:lvl w:ilvl="0" w:tentative="0">
      <w:start w:val="1"/>
      <w:numFmt w:val="chineseCounting"/>
      <w:suff w:val="nothing"/>
      <w:lvlText w:val="（%1）"/>
      <w:lvlJc w:val="left"/>
      <w:pPr>
        <w:ind w:left="0" w:firstLine="420"/>
      </w:pPr>
      <w:rPr>
        <w:rFonts w:hint="eastAsia"/>
      </w:rPr>
    </w:lvl>
  </w:abstractNum>
  <w:abstractNum w:abstractNumId="3">
    <w:nsid w:val="6A80AE28"/>
    <w:multiLevelType w:val="singleLevel"/>
    <w:tmpl w:val="6A80AE28"/>
    <w:lvl w:ilvl="0" w:tentative="0">
      <w:start w:val="1"/>
      <w:numFmt w:val="chineseCounting"/>
      <w:suff w:val="nothing"/>
      <w:lvlText w:val="（%1）"/>
      <w:lvlJc w:val="left"/>
      <w:pPr>
        <w:ind w:left="0" w:firstLine="420"/>
      </w:pPr>
      <w:rPr>
        <w:rFonts w:hint="eastAsia"/>
      </w:rPr>
    </w:lvl>
  </w:abstractNum>
  <w:abstractNum w:abstractNumId="4">
    <w:nsid w:val="6A92E80F"/>
    <w:multiLevelType w:val="singleLevel"/>
    <w:tmpl w:val="6A92E80F"/>
    <w:lvl w:ilvl="0" w:tentative="0">
      <w:start w:val="1"/>
      <w:numFmt w:val="chineseCounting"/>
      <w:suff w:val="nothing"/>
      <w:lvlText w:val="（%1）"/>
      <w:lvlJc w:val="left"/>
      <w:pPr>
        <w:ind w:left="0" w:firstLine="420"/>
      </w:pPr>
      <w:rPr>
        <w:rFonts w:hint="eastAsia"/>
      </w:rPr>
    </w:lvl>
  </w:abstractNum>
  <w:abstractNum w:abstractNumId="5">
    <w:nsid w:val="73CC9E7E"/>
    <w:multiLevelType w:val="singleLevel"/>
    <w:tmpl w:val="73CC9E7E"/>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1C"/>
    <w:rsid w:val="00011BE6"/>
    <w:rsid w:val="000167A1"/>
    <w:rsid w:val="00070696"/>
    <w:rsid w:val="000C0DEE"/>
    <w:rsid w:val="000D0BAD"/>
    <w:rsid w:val="0010026C"/>
    <w:rsid w:val="00100F5E"/>
    <w:rsid w:val="001121AC"/>
    <w:rsid w:val="0013638A"/>
    <w:rsid w:val="00147DDC"/>
    <w:rsid w:val="00150A14"/>
    <w:rsid w:val="00186855"/>
    <w:rsid w:val="00194477"/>
    <w:rsid w:val="001A6294"/>
    <w:rsid w:val="001B5E95"/>
    <w:rsid w:val="001C16DE"/>
    <w:rsid w:val="001D66C4"/>
    <w:rsid w:val="002334D1"/>
    <w:rsid w:val="002668FD"/>
    <w:rsid w:val="002A7E6B"/>
    <w:rsid w:val="002F44A8"/>
    <w:rsid w:val="00317533"/>
    <w:rsid w:val="00325C90"/>
    <w:rsid w:val="0034047F"/>
    <w:rsid w:val="003660EB"/>
    <w:rsid w:val="00396FF1"/>
    <w:rsid w:val="003E1A83"/>
    <w:rsid w:val="003F61D8"/>
    <w:rsid w:val="00415ADB"/>
    <w:rsid w:val="00427665"/>
    <w:rsid w:val="00442071"/>
    <w:rsid w:val="004848F0"/>
    <w:rsid w:val="00485CAC"/>
    <w:rsid w:val="00583685"/>
    <w:rsid w:val="00596933"/>
    <w:rsid w:val="005A54CC"/>
    <w:rsid w:val="005B42CF"/>
    <w:rsid w:val="005C0A47"/>
    <w:rsid w:val="005C3806"/>
    <w:rsid w:val="005F5509"/>
    <w:rsid w:val="00610029"/>
    <w:rsid w:val="00630E7E"/>
    <w:rsid w:val="006A3DAB"/>
    <w:rsid w:val="006B31C1"/>
    <w:rsid w:val="006C7589"/>
    <w:rsid w:val="006F0766"/>
    <w:rsid w:val="00700631"/>
    <w:rsid w:val="00703FC2"/>
    <w:rsid w:val="00745517"/>
    <w:rsid w:val="007A298E"/>
    <w:rsid w:val="007A350D"/>
    <w:rsid w:val="007A7DDA"/>
    <w:rsid w:val="007B6E19"/>
    <w:rsid w:val="007D605C"/>
    <w:rsid w:val="007E6871"/>
    <w:rsid w:val="007F0426"/>
    <w:rsid w:val="007F48F4"/>
    <w:rsid w:val="008100DC"/>
    <w:rsid w:val="008510E4"/>
    <w:rsid w:val="0089593E"/>
    <w:rsid w:val="008B383A"/>
    <w:rsid w:val="008C0BFA"/>
    <w:rsid w:val="008C58A2"/>
    <w:rsid w:val="008D5730"/>
    <w:rsid w:val="008E6CE0"/>
    <w:rsid w:val="00906B17"/>
    <w:rsid w:val="0095641F"/>
    <w:rsid w:val="00957F5B"/>
    <w:rsid w:val="009626C1"/>
    <w:rsid w:val="00970A08"/>
    <w:rsid w:val="009A17D3"/>
    <w:rsid w:val="009D232F"/>
    <w:rsid w:val="00A270F5"/>
    <w:rsid w:val="00A52F31"/>
    <w:rsid w:val="00A7531D"/>
    <w:rsid w:val="00A864EF"/>
    <w:rsid w:val="00AB17F8"/>
    <w:rsid w:val="00B21376"/>
    <w:rsid w:val="00B36FB3"/>
    <w:rsid w:val="00B617B4"/>
    <w:rsid w:val="00B909E6"/>
    <w:rsid w:val="00BB173B"/>
    <w:rsid w:val="00BD4044"/>
    <w:rsid w:val="00C11E6B"/>
    <w:rsid w:val="00C23C07"/>
    <w:rsid w:val="00C32EA2"/>
    <w:rsid w:val="00C35264"/>
    <w:rsid w:val="00C42D05"/>
    <w:rsid w:val="00C65BD8"/>
    <w:rsid w:val="00C8537F"/>
    <w:rsid w:val="00C87499"/>
    <w:rsid w:val="00C92000"/>
    <w:rsid w:val="00CC5097"/>
    <w:rsid w:val="00D063D6"/>
    <w:rsid w:val="00D30955"/>
    <w:rsid w:val="00D335FD"/>
    <w:rsid w:val="00D57F40"/>
    <w:rsid w:val="00D7655C"/>
    <w:rsid w:val="00D77342"/>
    <w:rsid w:val="00DC1ADF"/>
    <w:rsid w:val="00E475E8"/>
    <w:rsid w:val="00E71692"/>
    <w:rsid w:val="00E74BD6"/>
    <w:rsid w:val="00E758A5"/>
    <w:rsid w:val="00E81CD3"/>
    <w:rsid w:val="00E865C5"/>
    <w:rsid w:val="00EA001C"/>
    <w:rsid w:val="00EB533B"/>
    <w:rsid w:val="00EC0829"/>
    <w:rsid w:val="00ED3230"/>
    <w:rsid w:val="00F42229"/>
    <w:rsid w:val="00F5486C"/>
    <w:rsid w:val="00FA099F"/>
    <w:rsid w:val="00FE4693"/>
    <w:rsid w:val="00FF5C69"/>
    <w:rsid w:val="06D42CF8"/>
    <w:rsid w:val="080027C9"/>
    <w:rsid w:val="08FF6B9F"/>
    <w:rsid w:val="0955497B"/>
    <w:rsid w:val="096403F9"/>
    <w:rsid w:val="09CD2A20"/>
    <w:rsid w:val="0A5F5B47"/>
    <w:rsid w:val="0A634E05"/>
    <w:rsid w:val="0DE0344C"/>
    <w:rsid w:val="0DFB49AC"/>
    <w:rsid w:val="100A1ABC"/>
    <w:rsid w:val="109F2C2F"/>
    <w:rsid w:val="10AA0ABF"/>
    <w:rsid w:val="11525836"/>
    <w:rsid w:val="122E6962"/>
    <w:rsid w:val="136262E7"/>
    <w:rsid w:val="137D7AA1"/>
    <w:rsid w:val="1458051E"/>
    <w:rsid w:val="14AE2FF6"/>
    <w:rsid w:val="14CB3DD9"/>
    <w:rsid w:val="1AD67B1B"/>
    <w:rsid w:val="1B362FB2"/>
    <w:rsid w:val="1E7A06E4"/>
    <w:rsid w:val="1F1A69A9"/>
    <w:rsid w:val="1F9957E4"/>
    <w:rsid w:val="21E6077B"/>
    <w:rsid w:val="21F233BB"/>
    <w:rsid w:val="22125589"/>
    <w:rsid w:val="22F17100"/>
    <w:rsid w:val="241A3A46"/>
    <w:rsid w:val="264439EB"/>
    <w:rsid w:val="26B06A6F"/>
    <w:rsid w:val="27E72186"/>
    <w:rsid w:val="28E07E67"/>
    <w:rsid w:val="2AB6515C"/>
    <w:rsid w:val="2B3A56A8"/>
    <w:rsid w:val="2D5052F3"/>
    <w:rsid w:val="2D546C0A"/>
    <w:rsid w:val="303977B3"/>
    <w:rsid w:val="306231CB"/>
    <w:rsid w:val="31671C04"/>
    <w:rsid w:val="31E13107"/>
    <w:rsid w:val="345C05FB"/>
    <w:rsid w:val="347A3E7E"/>
    <w:rsid w:val="35533AE8"/>
    <w:rsid w:val="3656754F"/>
    <w:rsid w:val="36E7758E"/>
    <w:rsid w:val="38C53FC2"/>
    <w:rsid w:val="3A8772C7"/>
    <w:rsid w:val="3B282B47"/>
    <w:rsid w:val="3BC235AA"/>
    <w:rsid w:val="3C515828"/>
    <w:rsid w:val="3D9D0824"/>
    <w:rsid w:val="3ED50CA5"/>
    <w:rsid w:val="3FBE67A7"/>
    <w:rsid w:val="407A29F4"/>
    <w:rsid w:val="40834050"/>
    <w:rsid w:val="40A538CB"/>
    <w:rsid w:val="41144594"/>
    <w:rsid w:val="42D44522"/>
    <w:rsid w:val="42DC342E"/>
    <w:rsid w:val="43AF622E"/>
    <w:rsid w:val="449B30ED"/>
    <w:rsid w:val="46852C70"/>
    <w:rsid w:val="485F498A"/>
    <w:rsid w:val="487815A6"/>
    <w:rsid w:val="49E61432"/>
    <w:rsid w:val="4B447E66"/>
    <w:rsid w:val="4C3C5414"/>
    <w:rsid w:val="4CF5766A"/>
    <w:rsid w:val="4EB00480"/>
    <w:rsid w:val="4F303D38"/>
    <w:rsid w:val="5177745C"/>
    <w:rsid w:val="51B4719E"/>
    <w:rsid w:val="53B6775A"/>
    <w:rsid w:val="55761405"/>
    <w:rsid w:val="56523D0F"/>
    <w:rsid w:val="56962D5A"/>
    <w:rsid w:val="576378C6"/>
    <w:rsid w:val="5DD60067"/>
    <w:rsid w:val="614D5FF5"/>
    <w:rsid w:val="61904FC9"/>
    <w:rsid w:val="63AB0158"/>
    <w:rsid w:val="65256B84"/>
    <w:rsid w:val="69594684"/>
    <w:rsid w:val="69925ED5"/>
    <w:rsid w:val="69A43B52"/>
    <w:rsid w:val="6AD4308D"/>
    <w:rsid w:val="6B827032"/>
    <w:rsid w:val="6D5C360D"/>
    <w:rsid w:val="6D876A23"/>
    <w:rsid w:val="6F4F16A7"/>
    <w:rsid w:val="707F50F3"/>
    <w:rsid w:val="70E13092"/>
    <w:rsid w:val="7161319C"/>
    <w:rsid w:val="720718E7"/>
    <w:rsid w:val="732029B6"/>
    <w:rsid w:val="7344489A"/>
    <w:rsid w:val="74960C90"/>
    <w:rsid w:val="750B33B4"/>
    <w:rsid w:val="76525E79"/>
    <w:rsid w:val="77634AFC"/>
    <w:rsid w:val="78B10710"/>
    <w:rsid w:val="797748D9"/>
    <w:rsid w:val="7B176BFA"/>
    <w:rsid w:val="7B7E3E7D"/>
    <w:rsid w:val="7CBF6081"/>
    <w:rsid w:val="7D695B2C"/>
    <w:rsid w:val="7DF04625"/>
    <w:rsid w:val="7DF966B6"/>
    <w:rsid w:val="7E094473"/>
    <w:rsid w:val="DBDD9635"/>
    <w:rsid w:val="DE2F1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40" w:line="276" w:lineRule="auto"/>
    </w:pPr>
  </w:style>
  <w:style w:type="paragraph" w:styleId="5">
    <w:name w:val="Date"/>
    <w:basedOn w:val="1"/>
    <w:next w:val="1"/>
    <w:link w:val="15"/>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99"/>
    <w:rPr>
      <w:sz w:val="21"/>
      <w:szCs w:val="21"/>
    </w:rPr>
  </w:style>
  <w:style w:type="character" w:customStyle="1" w:styleId="15">
    <w:name w:val="日期 字符"/>
    <w:basedOn w:val="12"/>
    <w:link w:val="5"/>
    <w:semiHidden/>
    <w:qFormat/>
    <w:uiPriority w:val="99"/>
    <w:rPr>
      <w:rFonts w:ascii="Times New Roman" w:hAnsi="Times New Roman" w:eastAsia="宋体" w:cs="Times New Roman"/>
      <w:szCs w:val="24"/>
    </w:rPr>
  </w:style>
  <w:style w:type="character" w:customStyle="1" w:styleId="16">
    <w:name w:val="页眉 字符"/>
    <w:basedOn w:val="12"/>
    <w:link w:val="8"/>
    <w:semiHidden/>
    <w:qFormat/>
    <w:uiPriority w:val="99"/>
    <w:rPr>
      <w:rFonts w:ascii="Times New Roman" w:hAnsi="Times New Roman" w:eastAsia="宋体" w:cs="Times New Roman"/>
      <w:sz w:val="18"/>
      <w:szCs w:val="18"/>
    </w:rPr>
  </w:style>
  <w:style w:type="character" w:customStyle="1" w:styleId="17">
    <w:name w:val="页脚 字符"/>
    <w:basedOn w:val="12"/>
    <w:link w:val="7"/>
    <w:semiHidden/>
    <w:qFormat/>
    <w:uiPriority w:val="99"/>
    <w:rPr>
      <w:rFonts w:ascii="Times New Roman" w:hAnsi="Times New Roman" w:eastAsia="宋体" w:cs="Times New Roman"/>
      <w:sz w:val="18"/>
      <w:szCs w:val="18"/>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4109</Words>
  <Characters>4273</Characters>
  <Lines>35</Lines>
  <Paragraphs>9</Paragraphs>
  <TotalTime>8</TotalTime>
  <ScaleCrop>false</ScaleCrop>
  <LinksUpToDate>false</LinksUpToDate>
  <CharactersWithSpaces>4692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2018-02-05T14:20:00Z</dcterms:created>
  <dc:creator>陈乐智</dc:creator>
  <cp:lastModifiedBy>Selina Yang Wei</cp:lastModifiedBy>
  <dcterms:modified xsi:type="dcterms:W3CDTF">2025-11-17T07:16:34Z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eyJoZGlkIjoiNjc1MzRkNTM4YTJhMjIxZTZlOWFhMDIyMWM1MjQxMmYiLCJ1c2VySWQiOiIyNjkyNTA3NTgifQ==</vt:lpwstr>
  </property>
  <property fmtid="{D5CDD505-2E9C-101B-9397-08002B2CF9AE}" pid="4" name="ICV">
    <vt:lpwstr>7FE80FB159BE442C8958235FCD0F9C49_13</vt:lpwstr>
  </property>
</Properties>
</file>